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AFEF" w14:textId="77777777" w:rsidR="000A0534" w:rsidRDefault="000A0534" w:rsidP="000A0534">
      <w:pPr>
        <w:jc w:val="center"/>
        <w:rPr>
          <w:rFonts w:ascii="ＭＳ 明朝" w:eastAsia="ＭＳ 明朝" w:hAnsi="ＭＳ 明朝"/>
          <w:szCs w:val="21"/>
          <w:lang w:bidi="th-TH"/>
        </w:rPr>
      </w:pPr>
      <w:r w:rsidRPr="006E3D9C">
        <w:rPr>
          <w:rFonts w:ascii="ＭＳ 明朝" w:eastAsia="ＭＳ 明朝" w:hAnsi="ＭＳ 明朝" w:hint="eastAsia"/>
          <w:szCs w:val="21"/>
          <w:lang w:bidi="th-TH"/>
        </w:rPr>
        <w:t>令和</w:t>
      </w:r>
      <w:r>
        <w:rPr>
          <w:rFonts w:ascii="ＭＳ 明朝" w:eastAsia="ＭＳ 明朝" w:hAnsi="ＭＳ 明朝" w:hint="eastAsia"/>
          <w:szCs w:val="21"/>
          <w:lang w:bidi="th-TH"/>
        </w:rPr>
        <w:t>7</w:t>
      </w:r>
      <w:r w:rsidRPr="006E3D9C">
        <w:rPr>
          <w:rFonts w:ascii="ＭＳ 明朝" w:eastAsia="ＭＳ 明朝" w:hAnsi="ＭＳ 明朝" w:hint="eastAsia"/>
          <w:szCs w:val="21"/>
          <w:lang w:bidi="th-TH"/>
        </w:rPr>
        <w:t>年度</w:t>
      </w:r>
      <w:r w:rsidRPr="006E3D9C">
        <w:rPr>
          <w:rFonts w:ascii="ＭＳ 明朝" w:eastAsia="ＭＳ 明朝" w:hAnsi="ＭＳ 明朝"/>
          <w:szCs w:val="21"/>
          <w:lang w:bidi="th-TH"/>
        </w:rPr>
        <w:t xml:space="preserve"> 岡山県</w:t>
      </w:r>
      <w:r>
        <w:rPr>
          <w:rFonts w:ascii="ＭＳ 明朝" w:eastAsia="ＭＳ 明朝" w:hAnsi="ＭＳ 明朝" w:hint="eastAsia"/>
          <w:szCs w:val="21"/>
          <w:lang w:bidi="th-TH"/>
        </w:rPr>
        <w:t>タイビジネスサポートデスク</w:t>
      </w:r>
      <w:r>
        <w:rPr>
          <w:rFonts w:ascii="ＭＳ 明朝" w:eastAsia="ＭＳ 明朝" w:hAnsi="ＭＳ 明朝"/>
          <w:szCs w:val="21"/>
          <w:lang w:bidi="th-TH"/>
        </w:rPr>
        <w:t>（</w:t>
      </w:r>
      <w:r w:rsidRPr="006E3D9C">
        <w:rPr>
          <w:rFonts w:ascii="ＭＳ 明朝" w:eastAsia="ＭＳ 明朝" w:hAnsi="ＭＳ 明朝" w:hint="eastAsia"/>
          <w:szCs w:val="21"/>
          <w:lang w:bidi="th-TH"/>
        </w:rPr>
        <w:t>アジア・アライアンス・パートナージャパン（株）</w:t>
      </w:r>
      <w:r w:rsidRPr="006E3D9C">
        <w:rPr>
          <w:rFonts w:ascii="ＭＳ 明朝" w:eastAsia="ＭＳ 明朝" w:hAnsi="ＭＳ 明朝"/>
          <w:szCs w:val="21"/>
          <w:lang w:bidi="th-TH"/>
        </w:rPr>
        <w:t>）</w:t>
      </w:r>
    </w:p>
    <w:p w14:paraId="4AA83D37" w14:textId="77777777" w:rsidR="000A0534" w:rsidRPr="006E3D9C" w:rsidRDefault="000A0534" w:rsidP="000A0534">
      <w:pPr>
        <w:jc w:val="center"/>
        <w:rPr>
          <w:rFonts w:ascii="ＭＳ 明朝" w:eastAsia="ＭＳ 明朝" w:hAnsi="ＭＳ 明朝"/>
          <w:szCs w:val="21"/>
          <w:lang w:bidi="th-TH"/>
        </w:rPr>
      </w:pPr>
    </w:p>
    <w:p w14:paraId="33413535" w14:textId="77777777" w:rsidR="000A0534" w:rsidRDefault="000A0534" w:rsidP="000A0534">
      <w:pPr>
        <w:ind w:leftChars="100" w:left="210"/>
        <w:jc w:val="right"/>
        <w:rPr>
          <w:rFonts w:ascii="ＭＳ 明朝" w:eastAsia="ＭＳ 明朝" w:hAnsi="ＭＳ 明朝"/>
          <w:szCs w:val="21"/>
          <w:lang w:bidi="th-TH"/>
        </w:rPr>
      </w:pPr>
      <w:r>
        <w:rPr>
          <w:rFonts w:ascii="ＭＳ 明朝" w:eastAsia="ＭＳ 明朝" w:hAnsi="ＭＳ 明朝"/>
          <w:szCs w:val="21"/>
          <w:lang w:bidi="th-TH"/>
        </w:rPr>
        <w:t>2025</w:t>
      </w:r>
      <w:r w:rsidRPr="006E3D9C">
        <w:rPr>
          <w:rFonts w:ascii="ＭＳ 明朝" w:eastAsia="ＭＳ 明朝" w:hAnsi="ＭＳ 明朝"/>
          <w:szCs w:val="21"/>
          <w:lang w:bidi="th-TH"/>
        </w:rPr>
        <w:t>年</w:t>
      </w:r>
      <w:r>
        <w:rPr>
          <w:rFonts w:ascii="ＭＳ 明朝" w:eastAsia="ＭＳ 明朝" w:hAnsi="ＭＳ 明朝"/>
          <w:szCs w:val="21"/>
          <w:lang w:bidi="th-TH"/>
        </w:rPr>
        <w:t>10</w:t>
      </w:r>
      <w:r w:rsidRPr="006E3D9C">
        <w:rPr>
          <w:rFonts w:ascii="ＭＳ 明朝" w:eastAsia="ＭＳ 明朝" w:hAnsi="ＭＳ 明朝"/>
          <w:szCs w:val="21"/>
          <w:lang w:bidi="th-TH"/>
        </w:rPr>
        <w:t>月</w:t>
      </w:r>
    </w:p>
    <w:p w14:paraId="67A2FE01" w14:textId="77777777" w:rsidR="000A0534" w:rsidRDefault="000A0534" w:rsidP="000A0534">
      <w:pPr>
        <w:jc w:val="center"/>
        <w:rPr>
          <w:rFonts w:ascii="ＭＳ 明朝" w:eastAsia="ＭＳ 明朝" w:hAnsi="ＭＳ 明朝"/>
          <w:szCs w:val="21"/>
          <w:lang w:bidi="th-TH"/>
        </w:rPr>
      </w:pPr>
    </w:p>
    <w:p w14:paraId="72F75EB3" w14:textId="77777777" w:rsidR="000A0534" w:rsidRPr="00201FB4" w:rsidRDefault="000A0534" w:rsidP="000A0534">
      <w:pPr>
        <w:jc w:val="center"/>
        <w:rPr>
          <w:rFonts w:ascii="ＭＳ 明朝" w:eastAsia="ＭＳ 明朝" w:hAnsi="ＭＳ 明朝"/>
          <w:szCs w:val="21"/>
          <w:lang w:bidi="th-TH"/>
        </w:rPr>
      </w:pPr>
      <w:r w:rsidRPr="00201FB4">
        <w:rPr>
          <w:rFonts w:ascii="ＭＳ 明朝" w:eastAsia="ＭＳ 明朝" w:hAnsi="ＭＳ 明朝" w:hint="eastAsia"/>
          <w:szCs w:val="21"/>
          <w:lang w:bidi="th-TH"/>
        </w:rPr>
        <w:t>タイ</w:t>
      </w:r>
      <w:r>
        <w:rPr>
          <w:rFonts w:ascii="ＭＳ 明朝" w:eastAsia="ＭＳ 明朝" w:hAnsi="ＭＳ 明朝" w:hint="eastAsia"/>
          <w:szCs w:val="21"/>
          <w:lang w:bidi="th-TH"/>
        </w:rPr>
        <w:t xml:space="preserve"> 202</w:t>
      </w:r>
      <w:r>
        <w:rPr>
          <w:rFonts w:ascii="ＭＳ 明朝" w:eastAsia="ＭＳ 明朝" w:hAnsi="ＭＳ 明朝"/>
          <w:szCs w:val="21"/>
          <w:lang w:bidi="th-TH"/>
        </w:rPr>
        <w:t>5</w:t>
      </w:r>
      <w:r>
        <w:rPr>
          <w:rFonts w:ascii="ＭＳ 明朝" w:eastAsia="ＭＳ 明朝" w:hAnsi="ＭＳ 明朝" w:hint="eastAsia"/>
          <w:szCs w:val="21"/>
          <w:lang w:bidi="th-TH"/>
        </w:rPr>
        <w:t>年下</w:t>
      </w:r>
      <w:r w:rsidRPr="00201FB4">
        <w:rPr>
          <w:rFonts w:ascii="ＭＳ 明朝" w:eastAsia="ＭＳ 明朝" w:hAnsi="ＭＳ 明朝" w:hint="eastAsia"/>
          <w:szCs w:val="21"/>
          <w:lang w:bidi="th-TH"/>
        </w:rPr>
        <w:t>半期</w:t>
      </w:r>
      <w:r>
        <w:rPr>
          <w:rFonts w:ascii="ＭＳ 明朝" w:eastAsia="ＭＳ 明朝" w:hAnsi="ＭＳ 明朝" w:hint="eastAsia"/>
          <w:szCs w:val="21"/>
          <w:lang w:bidi="th-TH"/>
        </w:rPr>
        <w:t xml:space="preserve">　日系企業動向</w:t>
      </w:r>
    </w:p>
    <w:p w14:paraId="16F90047" w14:textId="77777777" w:rsidR="000A0534" w:rsidRDefault="000A0534" w:rsidP="000A0534">
      <w:pPr>
        <w:rPr>
          <w:rFonts w:ascii="ＭＳ 明朝" w:eastAsia="ＭＳ 明朝" w:hAnsi="ＭＳ 明朝"/>
          <w:szCs w:val="21"/>
        </w:rPr>
      </w:pPr>
    </w:p>
    <w:p w14:paraId="698C5206" w14:textId="77777777" w:rsidR="000A0534" w:rsidRPr="00201FB4" w:rsidRDefault="000A0534" w:rsidP="000A0534">
      <w:pPr>
        <w:rPr>
          <w:rFonts w:ascii="ＭＳ 明朝" w:eastAsia="ＭＳ 明朝" w:hAnsi="ＭＳ 明朝"/>
          <w:szCs w:val="21"/>
        </w:rPr>
      </w:pPr>
      <w:r>
        <w:rPr>
          <w:rFonts w:ascii="ＭＳ 明朝" w:eastAsia="ＭＳ 明朝" w:hAnsi="ＭＳ 明朝"/>
          <w:szCs w:val="21"/>
        </w:rPr>
        <w:t>①</w:t>
      </w:r>
      <w:r w:rsidRPr="00201FB4">
        <w:rPr>
          <w:rFonts w:ascii="ＭＳ 明朝" w:eastAsia="ＭＳ 明朝" w:hAnsi="ＭＳ 明朝" w:hint="eastAsia"/>
          <w:szCs w:val="21"/>
        </w:rPr>
        <w:t>現地概況</w:t>
      </w:r>
    </w:p>
    <w:p w14:paraId="47338CCA"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w:t>
      </w:r>
      <w:r w:rsidRPr="00914292">
        <w:rPr>
          <w:rFonts w:ascii="ＭＳ 明朝" w:eastAsia="ＭＳ 明朝" w:hAnsi="ＭＳ 明朝"/>
          <w:szCs w:val="21"/>
          <w:lang w:bidi="th-TH"/>
        </w:rPr>
        <w:t>タイの景気状況を測る重要な指標のひとつに、自動車の販売台数があります。ローン審査の厳格化により自動車販売が不振となった影響で、2024年はすべての月で前年を下回る結果となりました</w:t>
      </w:r>
      <w:r>
        <w:rPr>
          <w:rFonts w:ascii="ＭＳ 明朝" w:eastAsia="ＭＳ 明朝" w:hAnsi="ＭＳ 明朝" w:hint="eastAsia"/>
          <w:szCs w:val="21"/>
          <w:lang w:bidi="th-TH"/>
        </w:rPr>
        <w:t>が、</w:t>
      </w:r>
      <w:r w:rsidRPr="00914292">
        <w:rPr>
          <w:rFonts w:ascii="ＭＳ 明朝" w:eastAsia="ＭＳ 明朝" w:hAnsi="ＭＳ 明朝"/>
          <w:szCs w:val="21"/>
          <w:lang w:bidi="th-TH"/>
        </w:rPr>
        <w:t>2025年4月以降は前年同月比でプラスに転じており、下げ止まったとの見方もできます。ただし、2023年の水準</w:t>
      </w:r>
      <w:r>
        <w:rPr>
          <w:rFonts w:ascii="ＭＳ 明朝" w:eastAsia="ＭＳ 明朝" w:hAnsi="ＭＳ 明朝" w:hint="eastAsia"/>
          <w:szCs w:val="21"/>
          <w:lang w:bidi="th-TH"/>
        </w:rPr>
        <w:t>までには回復して</w:t>
      </w:r>
      <w:r w:rsidRPr="00914292">
        <w:rPr>
          <w:rFonts w:ascii="ＭＳ 明朝" w:eastAsia="ＭＳ 明朝" w:hAnsi="ＭＳ 明朝"/>
          <w:szCs w:val="21"/>
          <w:lang w:bidi="th-TH"/>
        </w:rPr>
        <w:t>おらず、依然として厳しい状況が続いて</w:t>
      </w:r>
      <w:r>
        <w:rPr>
          <w:rFonts w:ascii="ＭＳ 明朝" w:eastAsia="ＭＳ 明朝" w:hAnsi="ＭＳ 明朝" w:hint="eastAsia"/>
          <w:szCs w:val="21"/>
          <w:lang w:bidi="th-TH"/>
        </w:rPr>
        <w:t>い</w:t>
      </w:r>
      <w:r w:rsidRPr="00914292">
        <w:rPr>
          <w:rFonts w:ascii="ＭＳ 明朝" w:eastAsia="ＭＳ 明朝" w:hAnsi="ＭＳ 明朝"/>
          <w:szCs w:val="21"/>
          <w:lang w:bidi="th-TH"/>
        </w:rPr>
        <w:t>ます。</w:t>
      </w:r>
    </w:p>
    <w:p w14:paraId="1FAD0EB5" w14:textId="77777777" w:rsidR="000A0534" w:rsidRDefault="000A0534" w:rsidP="000A0534">
      <w:pPr>
        <w:rPr>
          <w:rFonts w:ascii="ＭＳ 明朝" w:eastAsia="ＭＳ 明朝" w:hAnsi="ＭＳ 明朝"/>
          <w:szCs w:val="21"/>
          <w:lang w:bidi="th-TH"/>
        </w:rPr>
      </w:pPr>
    </w:p>
    <w:p w14:paraId="4D19E9C1" w14:textId="77777777" w:rsidR="000A0534" w:rsidRDefault="000A0534" w:rsidP="000A0534">
      <w:pPr>
        <w:jc w:val="center"/>
        <w:rPr>
          <w:rFonts w:ascii="ＭＳ 明朝" w:eastAsia="ＭＳ 明朝" w:hAnsi="ＭＳ 明朝"/>
          <w:szCs w:val="21"/>
          <w:lang w:bidi="th-TH"/>
        </w:rPr>
      </w:pPr>
      <w:r>
        <w:rPr>
          <w:rFonts w:ascii="ＭＳ 明朝" w:eastAsia="ＭＳ 明朝" w:hAnsi="ＭＳ 明朝" w:hint="eastAsia"/>
          <w:szCs w:val="21"/>
          <w:lang w:bidi="th-TH"/>
        </w:rPr>
        <w:t>タイ国内新車販売台数</w:t>
      </w:r>
    </w:p>
    <w:tbl>
      <w:tblPr>
        <w:tblW w:w="9437" w:type="dxa"/>
        <w:tblInd w:w="335" w:type="dxa"/>
        <w:tblLook w:val="04A0" w:firstRow="1" w:lastRow="0" w:firstColumn="1" w:lastColumn="0" w:noHBand="0" w:noVBand="1"/>
      </w:tblPr>
      <w:tblGrid>
        <w:gridCol w:w="726"/>
        <w:gridCol w:w="702"/>
        <w:gridCol w:w="702"/>
        <w:gridCol w:w="789"/>
        <w:gridCol w:w="702"/>
        <w:gridCol w:w="702"/>
        <w:gridCol w:w="702"/>
        <w:gridCol w:w="702"/>
        <w:gridCol w:w="702"/>
        <w:gridCol w:w="752"/>
        <w:gridCol w:w="752"/>
        <w:gridCol w:w="752"/>
        <w:gridCol w:w="752"/>
      </w:tblGrid>
      <w:tr w:rsidR="000A0534" w:rsidRPr="00477810" w14:paraId="28170B05" w14:textId="77777777" w:rsidTr="00D76D10">
        <w:trPr>
          <w:trHeight w:val="285"/>
        </w:trPr>
        <w:tc>
          <w:tcPr>
            <w:tcW w:w="726" w:type="dxa"/>
            <w:tcBorders>
              <w:top w:val="single" w:sz="4" w:space="0" w:color="auto"/>
              <w:left w:val="single" w:sz="4" w:space="0" w:color="auto"/>
              <w:bottom w:val="single" w:sz="4" w:space="0" w:color="auto"/>
              <w:right w:val="single" w:sz="4" w:space="0" w:color="auto"/>
            </w:tcBorders>
            <w:noWrap/>
            <w:vAlign w:val="bottom"/>
            <w:hideMark/>
          </w:tcPr>
          <w:p w14:paraId="76296D32"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p>
        </w:tc>
        <w:tc>
          <w:tcPr>
            <w:tcW w:w="702" w:type="dxa"/>
            <w:tcBorders>
              <w:top w:val="single" w:sz="4" w:space="0" w:color="auto"/>
              <w:left w:val="nil"/>
              <w:bottom w:val="single" w:sz="4" w:space="0" w:color="auto"/>
              <w:right w:val="single" w:sz="4" w:space="0" w:color="auto"/>
            </w:tcBorders>
            <w:noWrap/>
            <w:vAlign w:val="bottom"/>
            <w:hideMark/>
          </w:tcPr>
          <w:p w14:paraId="2E4F206F"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1</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2C9C132C"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2</w:t>
            </w:r>
            <w:r w:rsidRPr="00477810">
              <w:rPr>
                <w:rFonts w:ascii="Meiryo UI" w:eastAsia="Times New Roman" w:hAnsi="Meiryo UI" w:cs="Meiryo UI"/>
                <w:color w:val="000000"/>
                <w:kern w:val="0"/>
                <w:sz w:val="16"/>
                <w:szCs w:val="16"/>
                <w:lang w:bidi="th-TH"/>
              </w:rPr>
              <w:t>月</w:t>
            </w:r>
          </w:p>
        </w:tc>
        <w:tc>
          <w:tcPr>
            <w:tcW w:w="789" w:type="dxa"/>
            <w:tcBorders>
              <w:top w:val="single" w:sz="4" w:space="0" w:color="auto"/>
              <w:left w:val="nil"/>
              <w:bottom w:val="single" w:sz="4" w:space="0" w:color="auto"/>
              <w:right w:val="single" w:sz="4" w:space="0" w:color="auto"/>
            </w:tcBorders>
            <w:noWrap/>
            <w:vAlign w:val="bottom"/>
            <w:hideMark/>
          </w:tcPr>
          <w:p w14:paraId="7A985872"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3</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418608F9"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4E13002A"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49FA1E94"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1B73ED02"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7</w:t>
            </w:r>
            <w:r w:rsidRPr="00477810">
              <w:rPr>
                <w:rFonts w:ascii="Meiryo UI" w:eastAsia="Times New Roman" w:hAnsi="Meiryo UI" w:cs="Meiryo UI"/>
                <w:color w:val="000000"/>
                <w:kern w:val="0"/>
                <w:sz w:val="16"/>
                <w:szCs w:val="16"/>
                <w:lang w:bidi="th-TH"/>
              </w:rPr>
              <w:t>月</w:t>
            </w:r>
          </w:p>
        </w:tc>
        <w:tc>
          <w:tcPr>
            <w:tcW w:w="702" w:type="dxa"/>
            <w:tcBorders>
              <w:top w:val="single" w:sz="4" w:space="0" w:color="auto"/>
              <w:left w:val="nil"/>
              <w:bottom w:val="single" w:sz="4" w:space="0" w:color="auto"/>
              <w:right w:val="single" w:sz="4" w:space="0" w:color="auto"/>
            </w:tcBorders>
            <w:noWrap/>
            <w:vAlign w:val="bottom"/>
            <w:hideMark/>
          </w:tcPr>
          <w:p w14:paraId="49582604"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8</w:t>
            </w:r>
            <w:r w:rsidRPr="00477810">
              <w:rPr>
                <w:rFonts w:ascii="Meiryo UI" w:eastAsia="Times New Roman" w:hAnsi="Meiryo UI" w:cs="Meiryo UI"/>
                <w:color w:val="000000"/>
                <w:kern w:val="0"/>
                <w:sz w:val="16"/>
                <w:szCs w:val="16"/>
                <w:lang w:bidi="th-TH"/>
              </w:rPr>
              <w:t>月</w:t>
            </w:r>
          </w:p>
        </w:tc>
        <w:tc>
          <w:tcPr>
            <w:tcW w:w="752" w:type="dxa"/>
            <w:tcBorders>
              <w:top w:val="single" w:sz="4" w:space="0" w:color="auto"/>
              <w:left w:val="nil"/>
              <w:bottom w:val="single" w:sz="4" w:space="0" w:color="auto"/>
              <w:right w:val="single" w:sz="4" w:space="0" w:color="auto"/>
            </w:tcBorders>
            <w:noWrap/>
            <w:vAlign w:val="bottom"/>
            <w:hideMark/>
          </w:tcPr>
          <w:p w14:paraId="55B73B72"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9</w:t>
            </w:r>
            <w:r w:rsidRPr="00477810">
              <w:rPr>
                <w:rFonts w:ascii="Meiryo UI" w:eastAsia="Times New Roman" w:hAnsi="Meiryo UI" w:cs="Meiryo UI"/>
                <w:color w:val="000000"/>
                <w:kern w:val="0"/>
                <w:sz w:val="16"/>
                <w:szCs w:val="16"/>
                <w:lang w:bidi="th-TH"/>
              </w:rPr>
              <w:t>月</w:t>
            </w:r>
          </w:p>
        </w:tc>
        <w:tc>
          <w:tcPr>
            <w:tcW w:w="752" w:type="dxa"/>
            <w:tcBorders>
              <w:top w:val="single" w:sz="4" w:space="0" w:color="auto"/>
              <w:left w:val="nil"/>
              <w:bottom w:val="single" w:sz="4" w:space="0" w:color="auto"/>
              <w:right w:val="single" w:sz="4" w:space="0" w:color="auto"/>
            </w:tcBorders>
            <w:noWrap/>
            <w:vAlign w:val="bottom"/>
            <w:hideMark/>
          </w:tcPr>
          <w:p w14:paraId="71707601"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10</w:t>
            </w:r>
            <w:r w:rsidRPr="00477810">
              <w:rPr>
                <w:rFonts w:ascii="Meiryo UI" w:eastAsia="Times New Roman" w:hAnsi="Meiryo UI" w:cs="Meiryo UI"/>
                <w:color w:val="000000"/>
                <w:kern w:val="0"/>
                <w:sz w:val="16"/>
                <w:szCs w:val="16"/>
                <w:lang w:bidi="th-TH"/>
              </w:rPr>
              <w:t>月</w:t>
            </w:r>
          </w:p>
        </w:tc>
        <w:tc>
          <w:tcPr>
            <w:tcW w:w="752" w:type="dxa"/>
            <w:tcBorders>
              <w:top w:val="single" w:sz="4" w:space="0" w:color="auto"/>
              <w:left w:val="nil"/>
              <w:bottom w:val="single" w:sz="4" w:space="0" w:color="auto"/>
              <w:right w:val="single" w:sz="4" w:space="0" w:color="auto"/>
            </w:tcBorders>
            <w:noWrap/>
            <w:vAlign w:val="bottom"/>
            <w:hideMark/>
          </w:tcPr>
          <w:p w14:paraId="026BEC4B"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11</w:t>
            </w:r>
            <w:r w:rsidRPr="00477810">
              <w:rPr>
                <w:rFonts w:ascii="Meiryo UI" w:eastAsia="Times New Roman" w:hAnsi="Meiryo UI" w:cs="Meiryo UI"/>
                <w:color w:val="000000"/>
                <w:kern w:val="0"/>
                <w:sz w:val="16"/>
                <w:szCs w:val="16"/>
                <w:lang w:bidi="th-TH"/>
              </w:rPr>
              <w:t>月</w:t>
            </w:r>
          </w:p>
        </w:tc>
        <w:tc>
          <w:tcPr>
            <w:tcW w:w="752" w:type="dxa"/>
            <w:tcBorders>
              <w:top w:val="single" w:sz="4" w:space="0" w:color="auto"/>
              <w:left w:val="nil"/>
              <w:bottom w:val="single" w:sz="4" w:space="0" w:color="auto"/>
              <w:right w:val="single" w:sz="4" w:space="0" w:color="auto"/>
            </w:tcBorders>
            <w:noWrap/>
            <w:vAlign w:val="bottom"/>
            <w:hideMark/>
          </w:tcPr>
          <w:p w14:paraId="0154AA54" w14:textId="77777777" w:rsidR="000A0534" w:rsidRPr="00477810" w:rsidRDefault="000A0534" w:rsidP="00D76D10">
            <w:pPr>
              <w:widowControl/>
              <w:jc w:val="center"/>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12</w:t>
            </w:r>
            <w:r w:rsidRPr="00477810">
              <w:rPr>
                <w:rFonts w:ascii="Meiryo UI" w:eastAsia="Times New Roman" w:hAnsi="Meiryo UI" w:cs="Meiryo UI"/>
                <w:color w:val="000000"/>
                <w:kern w:val="0"/>
                <w:sz w:val="16"/>
                <w:szCs w:val="16"/>
                <w:lang w:bidi="th-TH"/>
              </w:rPr>
              <w:t>月</w:t>
            </w:r>
          </w:p>
        </w:tc>
      </w:tr>
      <w:tr w:rsidR="000A0534" w:rsidRPr="00477810" w14:paraId="60BC47F7" w14:textId="77777777" w:rsidTr="00D76D10">
        <w:trPr>
          <w:trHeight w:val="285"/>
        </w:trPr>
        <w:tc>
          <w:tcPr>
            <w:tcW w:w="726" w:type="dxa"/>
            <w:tcBorders>
              <w:top w:val="nil"/>
              <w:left w:val="single" w:sz="4" w:space="0" w:color="auto"/>
              <w:bottom w:val="single" w:sz="4" w:space="0" w:color="auto"/>
              <w:right w:val="single" w:sz="4" w:space="0" w:color="auto"/>
            </w:tcBorders>
            <w:noWrap/>
            <w:vAlign w:val="bottom"/>
            <w:hideMark/>
          </w:tcPr>
          <w:p w14:paraId="170E99A0" w14:textId="77777777" w:rsidR="000A0534" w:rsidRPr="00477810" w:rsidRDefault="000A0534" w:rsidP="00D76D10">
            <w:pPr>
              <w:widowControl/>
              <w:jc w:val="lef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2023</w:t>
            </w:r>
            <w:r w:rsidRPr="00477810">
              <w:rPr>
                <w:rFonts w:ascii="Meiryo UI" w:eastAsia="Times New Roman" w:hAnsi="Meiryo UI" w:cs="Meiryo UI"/>
                <w:color w:val="000000"/>
                <w:kern w:val="0"/>
                <w:sz w:val="16"/>
                <w:szCs w:val="16"/>
                <w:lang w:bidi="th-TH"/>
              </w:rPr>
              <w:t>年</w:t>
            </w:r>
          </w:p>
        </w:tc>
        <w:tc>
          <w:tcPr>
            <w:tcW w:w="702" w:type="dxa"/>
            <w:tcBorders>
              <w:top w:val="nil"/>
              <w:left w:val="nil"/>
              <w:bottom w:val="single" w:sz="4" w:space="0" w:color="auto"/>
              <w:right w:val="single" w:sz="4" w:space="0" w:color="auto"/>
            </w:tcBorders>
            <w:noWrap/>
            <w:vAlign w:val="bottom"/>
            <w:hideMark/>
          </w:tcPr>
          <w:p w14:paraId="26285B84"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65,579</w:t>
            </w:r>
          </w:p>
        </w:tc>
        <w:tc>
          <w:tcPr>
            <w:tcW w:w="702" w:type="dxa"/>
            <w:tcBorders>
              <w:top w:val="nil"/>
              <w:left w:val="nil"/>
              <w:bottom w:val="single" w:sz="4" w:space="0" w:color="auto"/>
              <w:right w:val="single" w:sz="4" w:space="0" w:color="auto"/>
            </w:tcBorders>
            <w:noWrap/>
            <w:vAlign w:val="bottom"/>
            <w:hideMark/>
          </w:tcPr>
          <w:p w14:paraId="754BA49D"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71,551</w:t>
            </w:r>
          </w:p>
        </w:tc>
        <w:tc>
          <w:tcPr>
            <w:tcW w:w="789" w:type="dxa"/>
            <w:tcBorders>
              <w:top w:val="nil"/>
              <w:left w:val="nil"/>
              <w:bottom w:val="single" w:sz="4" w:space="0" w:color="auto"/>
              <w:right w:val="single" w:sz="4" w:space="0" w:color="auto"/>
            </w:tcBorders>
            <w:noWrap/>
            <w:vAlign w:val="bottom"/>
            <w:hideMark/>
          </w:tcPr>
          <w:p w14:paraId="71F7126E"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79,943</w:t>
            </w:r>
          </w:p>
        </w:tc>
        <w:tc>
          <w:tcPr>
            <w:tcW w:w="702" w:type="dxa"/>
            <w:tcBorders>
              <w:top w:val="nil"/>
              <w:left w:val="nil"/>
              <w:bottom w:val="single" w:sz="4" w:space="0" w:color="auto"/>
              <w:right w:val="single" w:sz="4" w:space="0" w:color="auto"/>
            </w:tcBorders>
            <w:noWrap/>
            <w:vAlign w:val="bottom"/>
            <w:hideMark/>
          </w:tcPr>
          <w:p w14:paraId="2E8B0411"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59,530</w:t>
            </w:r>
          </w:p>
        </w:tc>
        <w:tc>
          <w:tcPr>
            <w:tcW w:w="702" w:type="dxa"/>
            <w:tcBorders>
              <w:top w:val="nil"/>
              <w:left w:val="nil"/>
              <w:bottom w:val="single" w:sz="4" w:space="0" w:color="auto"/>
              <w:right w:val="single" w:sz="4" w:space="0" w:color="auto"/>
            </w:tcBorders>
            <w:noWrap/>
            <w:vAlign w:val="bottom"/>
            <w:hideMark/>
          </w:tcPr>
          <w:p w14:paraId="2627CEA1"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65,088</w:t>
            </w:r>
          </w:p>
        </w:tc>
        <w:tc>
          <w:tcPr>
            <w:tcW w:w="702" w:type="dxa"/>
            <w:tcBorders>
              <w:top w:val="nil"/>
              <w:left w:val="nil"/>
              <w:bottom w:val="single" w:sz="4" w:space="0" w:color="auto"/>
              <w:right w:val="single" w:sz="4" w:space="0" w:color="auto"/>
            </w:tcBorders>
            <w:noWrap/>
            <w:vAlign w:val="bottom"/>
            <w:hideMark/>
          </w:tcPr>
          <w:p w14:paraId="602EB0C8"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64,440</w:t>
            </w:r>
          </w:p>
        </w:tc>
        <w:tc>
          <w:tcPr>
            <w:tcW w:w="702" w:type="dxa"/>
            <w:tcBorders>
              <w:top w:val="nil"/>
              <w:left w:val="nil"/>
              <w:bottom w:val="single" w:sz="4" w:space="0" w:color="auto"/>
              <w:right w:val="single" w:sz="4" w:space="0" w:color="auto"/>
            </w:tcBorders>
            <w:noWrap/>
            <w:vAlign w:val="bottom"/>
            <w:hideMark/>
          </w:tcPr>
          <w:p w14:paraId="7A40CEA1"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58,419</w:t>
            </w:r>
          </w:p>
        </w:tc>
        <w:tc>
          <w:tcPr>
            <w:tcW w:w="702" w:type="dxa"/>
            <w:tcBorders>
              <w:top w:val="nil"/>
              <w:left w:val="nil"/>
              <w:bottom w:val="single" w:sz="4" w:space="0" w:color="auto"/>
              <w:right w:val="single" w:sz="4" w:space="0" w:color="auto"/>
            </w:tcBorders>
            <w:noWrap/>
            <w:vAlign w:val="bottom"/>
            <w:hideMark/>
          </w:tcPr>
          <w:p w14:paraId="2343FEDC"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60,234</w:t>
            </w:r>
          </w:p>
        </w:tc>
        <w:tc>
          <w:tcPr>
            <w:tcW w:w="752" w:type="dxa"/>
            <w:tcBorders>
              <w:top w:val="nil"/>
              <w:left w:val="nil"/>
              <w:bottom w:val="single" w:sz="4" w:space="0" w:color="auto"/>
              <w:right w:val="single" w:sz="4" w:space="0" w:color="auto"/>
            </w:tcBorders>
            <w:noWrap/>
            <w:vAlign w:val="bottom"/>
            <w:hideMark/>
          </w:tcPr>
          <w:p w14:paraId="029507E1"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62,086</w:t>
            </w:r>
          </w:p>
        </w:tc>
        <w:tc>
          <w:tcPr>
            <w:tcW w:w="752" w:type="dxa"/>
            <w:tcBorders>
              <w:top w:val="nil"/>
              <w:left w:val="nil"/>
              <w:bottom w:val="single" w:sz="4" w:space="0" w:color="auto"/>
              <w:right w:val="single" w:sz="4" w:space="0" w:color="auto"/>
            </w:tcBorders>
            <w:noWrap/>
            <w:vAlign w:val="bottom"/>
            <w:hideMark/>
          </w:tcPr>
          <w:p w14:paraId="2A5C00EE"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58,963</w:t>
            </w:r>
          </w:p>
        </w:tc>
        <w:tc>
          <w:tcPr>
            <w:tcW w:w="752" w:type="dxa"/>
            <w:tcBorders>
              <w:top w:val="nil"/>
              <w:left w:val="nil"/>
              <w:bottom w:val="single" w:sz="4" w:space="0" w:color="auto"/>
              <w:right w:val="single" w:sz="4" w:space="0" w:color="auto"/>
            </w:tcBorders>
            <w:noWrap/>
            <w:vAlign w:val="bottom"/>
            <w:hideMark/>
          </w:tcPr>
          <w:p w14:paraId="269C7B2A"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61,621</w:t>
            </w:r>
          </w:p>
        </w:tc>
        <w:tc>
          <w:tcPr>
            <w:tcW w:w="752" w:type="dxa"/>
            <w:tcBorders>
              <w:top w:val="nil"/>
              <w:left w:val="nil"/>
              <w:bottom w:val="single" w:sz="4" w:space="0" w:color="auto"/>
              <w:right w:val="single" w:sz="4" w:space="0" w:color="auto"/>
            </w:tcBorders>
            <w:noWrap/>
            <w:vAlign w:val="bottom"/>
            <w:hideMark/>
          </w:tcPr>
          <w:p w14:paraId="5C2DB66D"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68,326</w:t>
            </w:r>
          </w:p>
        </w:tc>
      </w:tr>
      <w:tr w:rsidR="000A0534" w:rsidRPr="00477810" w14:paraId="6A1B9FE0" w14:textId="77777777" w:rsidTr="00D76D10">
        <w:trPr>
          <w:trHeight w:val="285"/>
        </w:trPr>
        <w:tc>
          <w:tcPr>
            <w:tcW w:w="726" w:type="dxa"/>
            <w:tcBorders>
              <w:top w:val="nil"/>
              <w:left w:val="single" w:sz="4" w:space="0" w:color="auto"/>
              <w:bottom w:val="single" w:sz="4" w:space="0" w:color="auto"/>
              <w:right w:val="single" w:sz="4" w:space="0" w:color="auto"/>
            </w:tcBorders>
            <w:noWrap/>
            <w:vAlign w:val="bottom"/>
            <w:hideMark/>
          </w:tcPr>
          <w:p w14:paraId="3221BCCD" w14:textId="77777777" w:rsidR="000A0534" w:rsidRPr="00477810" w:rsidRDefault="000A0534" w:rsidP="00D76D10">
            <w:pPr>
              <w:widowControl/>
              <w:jc w:val="lef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2024</w:t>
            </w:r>
            <w:r w:rsidRPr="00477810">
              <w:rPr>
                <w:rFonts w:ascii="Meiryo UI" w:eastAsia="Times New Roman" w:hAnsi="Meiryo UI" w:cs="Meiryo UI"/>
                <w:color w:val="000000"/>
                <w:kern w:val="0"/>
                <w:sz w:val="16"/>
                <w:szCs w:val="16"/>
                <w:lang w:bidi="th-TH"/>
              </w:rPr>
              <w:t>年</w:t>
            </w:r>
          </w:p>
        </w:tc>
        <w:tc>
          <w:tcPr>
            <w:tcW w:w="702" w:type="dxa"/>
            <w:tcBorders>
              <w:top w:val="nil"/>
              <w:left w:val="nil"/>
              <w:bottom w:val="single" w:sz="4" w:space="0" w:color="auto"/>
              <w:right w:val="single" w:sz="4" w:space="0" w:color="auto"/>
            </w:tcBorders>
            <w:noWrap/>
            <w:vAlign w:val="bottom"/>
            <w:hideMark/>
          </w:tcPr>
          <w:p w14:paraId="5354D7CB"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54,814</w:t>
            </w:r>
          </w:p>
        </w:tc>
        <w:tc>
          <w:tcPr>
            <w:tcW w:w="702" w:type="dxa"/>
            <w:tcBorders>
              <w:top w:val="nil"/>
              <w:left w:val="nil"/>
              <w:bottom w:val="single" w:sz="4" w:space="0" w:color="auto"/>
              <w:right w:val="single" w:sz="4" w:space="0" w:color="auto"/>
            </w:tcBorders>
            <w:noWrap/>
            <w:vAlign w:val="bottom"/>
            <w:hideMark/>
          </w:tcPr>
          <w:p w14:paraId="78E75FFC"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52,843</w:t>
            </w:r>
          </w:p>
        </w:tc>
        <w:tc>
          <w:tcPr>
            <w:tcW w:w="789" w:type="dxa"/>
            <w:tcBorders>
              <w:top w:val="nil"/>
              <w:left w:val="nil"/>
              <w:bottom w:val="single" w:sz="4" w:space="0" w:color="auto"/>
              <w:right w:val="single" w:sz="4" w:space="0" w:color="auto"/>
            </w:tcBorders>
            <w:noWrap/>
            <w:vAlign w:val="bottom"/>
            <w:hideMark/>
          </w:tcPr>
          <w:p w14:paraId="5F5A2D32"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56,099</w:t>
            </w:r>
          </w:p>
        </w:tc>
        <w:tc>
          <w:tcPr>
            <w:tcW w:w="702" w:type="dxa"/>
            <w:tcBorders>
              <w:top w:val="nil"/>
              <w:left w:val="nil"/>
              <w:bottom w:val="single" w:sz="4" w:space="0" w:color="auto"/>
              <w:right w:val="single" w:sz="4" w:space="0" w:color="auto"/>
            </w:tcBorders>
            <w:noWrap/>
            <w:vAlign w:val="bottom"/>
            <w:hideMark/>
          </w:tcPr>
          <w:p w14:paraId="2184D1AD"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46,738</w:t>
            </w:r>
          </w:p>
        </w:tc>
        <w:tc>
          <w:tcPr>
            <w:tcW w:w="702" w:type="dxa"/>
            <w:tcBorders>
              <w:top w:val="nil"/>
              <w:left w:val="nil"/>
              <w:bottom w:val="single" w:sz="4" w:space="0" w:color="auto"/>
              <w:right w:val="single" w:sz="4" w:space="0" w:color="auto"/>
            </w:tcBorders>
            <w:noWrap/>
            <w:vAlign w:val="bottom"/>
            <w:hideMark/>
          </w:tcPr>
          <w:p w14:paraId="7F6C8CA5"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49,871</w:t>
            </w:r>
          </w:p>
        </w:tc>
        <w:tc>
          <w:tcPr>
            <w:tcW w:w="702" w:type="dxa"/>
            <w:tcBorders>
              <w:top w:val="nil"/>
              <w:left w:val="nil"/>
              <w:bottom w:val="single" w:sz="4" w:space="0" w:color="auto"/>
              <w:right w:val="single" w:sz="4" w:space="0" w:color="auto"/>
            </w:tcBorders>
            <w:noWrap/>
            <w:vAlign w:val="bottom"/>
            <w:hideMark/>
          </w:tcPr>
          <w:p w14:paraId="025C9BFE"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47,622</w:t>
            </w:r>
          </w:p>
        </w:tc>
        <w:tc>
          <w:tcPr>
            <w:tcW w:w="702" w:type="dxa"/>
            <w:tcBorders>
              <w:top w:val="nil"/>
              <w:left w:val="nil"/>
              <w:bottom w:val="single" w:sz="4" w:space="0" w:color="auto"/>
              <w:right w:val="single" w:sz="4" w:space="0" w:color="auto"/>
            </w:tcBorders>
            <w:noWrap/>
            <w:vAlign w:val="bottom"/>
            <w:hideMark/>
          </w:tcPr>
          <w:p w14:paraId="35D9111A"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46,394</w:t>
            </w:r>
          </w:p>
        </w:tc>
        <w:tc>
          <w:tcPr>
            <w:tcW w:w="702" w:type="dxa"/>
            <w:tcBorders>
              <w:top w:val="nil"/>
              <w:left w:val="nil"/>
              <w:bottom w:val="single" w:sz="4" w:space="0" w:color="auto"/>
              <w:right w:val="single" w:sz="4" w:space="0" w:color="auto"/>
            </w:tcBorders>
            <w:noWrap/>
            <w:vAlign w:val="bottom"/>
            <w:hideMark/>
          </w:tcPr>
          <w:p w14:paraId="6371E444"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45,190</w:t>
            </w:r>
          </w:p>
        </w:tc>
        <w:tc>
          <w:tcPr>
            <w:tcW w:w="752" w:type="dxa"/>
            <w:tcBorders>
              <w:top w:val="nil"/>
              <w:left w:val="nil"/>
              <w:bottom w:val="single" w:sz="4" w:space="0" w:color="auto"/>
              <w:right w:val="single" w:sz="4" w:space="0" w:color="auto"/>
            </w:tcBorders>
            <w:noWrap/>
            <w:vAlign w:val="bottom"/>
            <w:hideMark/>
          </w:tcPr>
          <w:p w14:paraId="234F0309" w14:textId="77777777" w:rsidR="000A0534" w:rsidRPr="00EF294E" w:rsidRDefault="000A0534" w:rsidP="00D76D10">
            <w:pPr>
              <w:widowControl/>
              <w:jc w:val="left"/>
              <w:rPr>
                <w:rFonts w:ascii="Tahoma"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r>
              <w:rPr>
                <w:rFonts w:ascii="Tahoma" w:hAnsi="Tahoma" w:cs="Tahoma" w:hint="eastAsia"/>
                <w:color w:val="000000"/>
                <w:kern w:val="0"/>
                <w:sz w:val="16"/>
                <w:szCs w:val="16"/>
                <w:lang w:bidi="th-TH"/>
              </w:rPr>
              <w:t>39,048</w:t>
            </w:r>
          </w:p>
        </w:tc>
        <w:tc>
          <w:tcPr>
            <w:tcW w:w="752" w:type="dxa"/>
            <w:tcBorders>
              <w:top w:val="nil"/>
              <w:left w:val="nil"/>
              <w:bottom w:val="single" w:sz="4" w:space="0" w:color="auto"/>
              <w:right w:val="single" w:sz="4" w:space="0" w:color="auto"/>
            </w:tcBorders>
            <w:noWrap/>
            <w:vAlign w:val="bottom"/>
            <w:hideMark/>
          </w:tcPr>
          <w:p w14:paraId="29342D30" w14:textId="77777777" w:rsidR="000A0534" w:rsidRPr="00EF294E" w:rsidRDefault="000A0534" w:rsidP="00D76D10">
            <w:pPr>
              <w:widowControl/>
              <w:jc w:val="left"/>
              <w:rPr>
                <w:rFonts w:ascii="Tahoma"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r>
              <w:rPr>
                <w:rFonts w:ascii="Tahoma" w:hAnsi="Tahoma" w:cs="Tahoma" w:hint="eastAsia"/>
                <w:color w:val="000000"/>
                <w:kern w:val="0"/>
                <w:sz w:val="16"/>
                <w:szCs w:val="16"/>
                <w:lang w:bidi="th-TH"/>
              </w:rPr>
              <w:t>37,692</w:t>
            </w:r>
          </w:p>
        </w:tc>
        <w:tc>
          <w:tcPr>
            <w:tcW w:w="752" w:type="dxa"/>
            <w:tcBorders>
              <w:top w:val="nil"/>
              <w:left w:val="nil"/>
              <w:bottom w:val="single" w:sz="4" w:space="0" w:color="auto"/>
              <w:right w:val="single" w:sz="4" w:space="0" w:color="auto"/>
            </w:tcBorders>
            <w:noWrap/>
            <w:vAlign w:val="bottom"/>
            <w:hideMark/>
          </w:tcPr>
          <w:p w14:paraId="51B657C3" w14:textId="77777777" w:rsidR="000A0534" w:rsidRPr="00EF294E" w:rsidRDefault="000A0534" w:rsidP="00D76D10">
            <w:pPr>
              <w:widowControl/>
              <w:jc w:val="left"/>
              <w:rPr>
                <w:rFonts w:ascii="Tahoma"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r>
              <w:rPr>
                <w:rFonts w:ascii="Tahoma" w:hAnsi="Tahoma" w:cs="Tahoma" w:hint="eastAsia"/>
                <w:color w:val="000000"/>
                <w:kern w:val="0"/>
                <w:sz w:val="16"/>
                <w:szCs w:val="16"/>
                <w:lang w:bidi="th-TH"/>
              </w:rPr>
              <w:t>42,309</w:t>
            </w:r>
          </w:p>
        </w:tc>
        <w:tc>
          <w:tcPr>
            <w:tcW w:w="752" w:type="dxa"/>
            <w:tcBorders>
              <w:top w:val="nil"/>
              <w:left w:val="nil"/>
              <w:bottom w:val="single" w:sz="4" w:space="0" w:color="auto"/>
              <w:right w:val="single" w:sz="4" w:space="0" w:color="auto"/>
            </w:tcBorders>
            <w:noWrap/>
            <w:vAlign w:val="bottom"/>
            <w:hideMark/>
          </w:tcPr>
          <w:p w14:paraId="5B51BF10" w14:textId="77777777" w:rsidR="000A0534" w:rsidRPr="00EF294E" w:rsidRDefault="000A0534" w:rsidP="00D76D10">
            <w:pPr>
              <w:widowControl/>
              <w:jc w:val="left"/>
              <w:rPr>
                <w:rFonts w:ascii="Tahoma"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r>
              <w:rPr>
                <w:rFonts w:ascii="Tahoma" w:hAnsi="Tahoma" w:cs="Tahoma" w:hint="eastAsia"/>
                <w:color w:val="000000"/>
                <w:kern w:val="0"/>
                <w:sz w:val="16"/>
                <w:szCs w:val="16"/>
                <w:lang w:bidi="th-TH"/>
              </w:rPr>
              <w:t>54,016</w:t>
            </w:r>
          </w:p>
        </w:tc>
      </w:tr>
      <w:tr w:rsidR="000A0534" w:rsidRPr="00477810" w14:paraId="181B9E7D" w14:textId="77777777" w:rsidTr="00D76D10">
        <w:trPr>
          <w:trHeight w:val="285"/>
        </w:trPr>
        <w:tc>
          <w:tcPr>
            <w:tcW w:w="726" w:type="dxa"/>
            <w:tcBorders>
              <w:top w:val="single" w:sz="4" w:space="0" w:color="auto"/>
              <w:left w:val="single" w:sz="4" w:space="0" w:color="auto"/>
              <w:bottom w:val="single" w:sz="4" w:space="0" w:color="auto"/>
              <w:right w:val="single" w:sz="4" w:space="0" w:color="auto"/>
            </w:tcBorders>
            <w:noWrap/>
            <w:vAlign w:val="bottom"/>
          </w:tcPr>
          <w:p w14:paraId="40D15720" w14:textId="77777777" w:rsidR="000A0534" w:rsidRPr="00477810" w:rsidRDefault="000A0534" w:rsidP="00D76D10">
            <w:pPr>
              <w:widowControl/>
              <w:jc w:val="lef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202</w:t>
            </w:r>
            <w:r>
              <w:rPr>
                <w:rFonts w:ascii="Tahoma" w:eastAsia="Times New Roman" w:hAnsi="Tahoma" w:cs="Tahoma"/>
                <w:color w:val="000000"/>
                <w:kern w:val="0"/>
                <w:sz w:val="16"/>
                <w:szCs w:val="16"/>
                <w:lang w:bidi="th-TH"/>
              </w:rPr>
              <w:t>5</w:t>
            </w:r>
            <w:r w:rsidRPr="00477810">
              <w:rPr>
                <w:rFonts w:ascii="Meiryo UI" w:eastAsia="Times New Roman" w:hAnsi="Meiryo UI" w:cs="Meiryo UI"/>
                <w:color w:val="000000"/>
                <w:kern w:val="0"/>
                <w:sz w:val="16"/>
                <w:szCs w:val="16"/>
                <w:lang w:bidi="th-TH"/>
              </w:rPr>
              <w:t>年</w:t>
            </w:r>
          </w:p>
        </w:tc>
        <w:tc>
          <w:tcPr>
            <w:tcW w:w="702" w:type="dxa"/>
            <w:tcBorders>
              <w:top w:val="single" w:sz="4" w:space="0" w:color="auto"/>
              <w:left w:val="nil"/>
              <w:bottom w:val="single" w:sz="4" w:space="0" w:color="auto"/>
              <w:right w:val="single" w:sz="4" w:space="0" w:color="auto"/>
            </w:tcBorders>
            <w:noWrap/>
            <w:vAlign w:val="bottom"/>
          </w:tcPr>
          <w:p w14:paraId="3A083F0B" w14:textId="77777777" w:rsidR="000A0534" w:rsidRPr="00D76D10" w:rsidRDefault="000A0534" w:rsidP="00D76D10">
            <w:pPr>
              <w:widowControl/>
              <w:jc w:val="right"/>
              <w:rPr>
                <w:rFonts w:ascii="Tahoma" w:hAnsi="Tahoma" w:cs="Tahoma"/>
                <w:color w:val="000000"/>
                <w:kern w:val="0"/>
                <w:sz w:val="16"/>
                <w:szCs w:val="16"/>
                <w:lang w:bidi="th-TH"/>
              </w:rPr>
            </w:pPr>
            <w:r>
              <w:rPr>
                <w:rFonts w:ascii="Tahoma" w:hAnsi="Tahoma" w:cs="Tahoma" w:hint="eastAsia"/>
                <w:color w:val="000000"/>
                <w:kern w:val="0"/>
                <w:sz w:val="16"/>
                <w:szCs w:val="16"/>
                <w:lang w:bidi="th-TH"/>
              </w:rPr>
              <w:t>48,082</w:t>
            </w:r>
          </w:p>
        </w:tc>
        <w:tc>
          <w:tcPr>
            <w:tcW w:w="702" w:type="dxa"/>
            <w:tcBorders>
              <w:top w:val="single" w:sz="4" w:space="0" w:color="auto"/>
              <w:left w:val="nil"/>
              <w:bottom w:val="single" w:sz="4" w:space="0" w:color="auto"/>
              <w:right w:val="single" w:sz="4" w:space="0" w:color="auto"/>
            </w:tcBorders>
            <w:noWrap/>
            <w:vAlign w:val="bottom"/>
          </w:tcPr>
          <w:p w14:paraId="6967495B" w14:textId="77777777" w:rsidR="000A0534" w:rsidRPr="00D76D10" w:rsidRDefault="000A0534" w:rsidP="00D76D10">
            <w:pPr>
              <w:widowControl/>
              <w:jc w:val="right"/>
              <w:rPr>
                <w:rFonts w:ascii="Tahoma" w:hAnsi="Tahoma" w:cs="Tahoma"/>
                <w:color w:val="000000"/>
                <w:kern w:val="0"/>
                <w:sz w:val="16"/>
                <w:szCs w:val="16"/>
                <w:lang w:bidi="th-TH"/>
              </w:rPr>
            </w:pPr>
            <w:r>
              <w:rPr>
                <w:rFonts w:ascii="Tahoma" w:hAnsi="Tahoma" w:cs="Tahoma" w:hint="eastAsia"/>
                <w:color w:val="000000"/>
                <w:kern w:val="0"/>
                <w:sz w:val="16"/>
                <w:szCs w:val="16"/>
                <w:lang w:bidi="th-TH"/>
              </w:rPr>
              <w:t>49,313</w:t>
            </w:r>
          </w:p>
        </w:tc>
        <w:tc>
          <w:tcPr>
            <w:tcW w:w="789" w:type="dxa"/>
            <w:tcBorders>
              <w:top w:val="single" w:sz="4" w:space="0" w:color="auto"/>
              <w:left w:val="nil"/>
              <w:bottom w:val="single" w:sz="4" w:space="0" w:color="auto"/>
              <w:right w:val="single" w:sz="4" w:space="0" w:color="auto"/>
            </w:tcBorders>
            <w:noWrap/>
            <w:vAlign w:val="bottom"/>
          </w:tcPr>
          <w:p w14:paraId="3A762963" w14:textId="77777777" w:rsidR="000A0534" w:rsidRPr="00D76D10" w:rsidRDefault="000A0534" w:rsidP="00D76D10">
            <w:pPr>
              <w:widowControl/>
              <w:jc w:val="right"/>
              <w:rPr>
                <w:rFonts w:ascii="Tahoma" w:hAnsi="Tahoma" w:cs="Tahoma"/>
                <w:color w:val="000000"/>
                <w:kern w:val="0"/>
                <w:sz w:val="16"/>
                <w:szCs w:val="16"/>
                <w:lang w:bidi="th-TH"/>
              </w:rPr>
            </w:pPr>
            <w:r>
              <w:rPr>
                <w:rFonts w:ascii="Tahoma" w:hAnsi="Tahoma" w:cs="Tahoma" w:hint="eastAsia"/>
                <w:color w:val="000000"/>
                <w:kern w:val="0"/>
                <w:sz w:val="16"/>
                <w:szCs w:val="16"/>
                <w:lang w:bidi="th-TH"/>
              </w:rPr>
              <w:t>55,798</w:t>
            </w:r>
          </w:p>
        </w:tc>
        <w:tc>
          <w:tcPr>
            <w:tcW w:w="702" w:type="dxa"/>
            <w:tcBorders>
              <w:top w:val="single" w:sz="4" w:space="0" w:color="auto"/>
              <w:left w:val="nil"/>
              <w:bottom w:val="single" w:sz="4" w:space="0" w:color="auto"/>
              <w:right w:val="single" w:sz="4" w:space="0" w:color="auto"/>
            </w:tcBorders>
            <w:noWrap/>
            <w:vAlign w:val="bottom"/>
          </w:tcPr>
          <w:p w14:paraId="621E8212"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Pr>
                <w:rFonts w:ascii="Tahoma" w:hAnsi="Tahoma" w:cs="Tahoma" w:hint="eastAsia"/>
                <w:color w:val="000000"/>
                <w:kern w:val="0"/>
                <w:sz w:val="16"/>
                <w:szCs w:val="16"/>
                <w:lang w:bidi="th-TH"/>
              </w:rPr>
              <w:t>47,193</w:t>
            </w:r>
          </w:p>
        </w:tc>
        <w:tc>
          <w:tcPr>
            <w:tcW w:w="702" w:type="dxa"/>
            <w:tcBorders>
              <w:top w:val="single" w:sz="4" w:space="0" w:color="auto"/>
              <w:left w:val="nil"/>
              <w:bottom w:val="single" w:sz="4" w:space="0" w:color="auto"/>
              <w:right w:val="single" w:sz="4" w:space="0" w:color="auto"/>
            </w:tcBorders>
            <w:noWrap/>
            <w:vAlign w:val="bottom"/>
          </w:tcPr>
          <w:p w14:paraId="4770D4D7" w14:textId="77777777" w:rsidR="000A0534" w:rsidRPr="00D76D10" w:rsidRDefault="000A0534" w:rsidP="00D76D10">
            <w:pPr>
              <w:widowControl/>
              <w:jc w:val="right"/>
              <w:rPr>
                <w:rFonts w:ascii="Tahoma" w:hAnsi="Tahoma" w:cs="Tahoma"/>
                <w:color w:val="000000"/>
                <w:kern w:val="0"/>
                <w:sz w:val="16"/>
                <w:szCs w:val="16"/>
                <w:lang w:bidi="th-TH"/>
              </w:rPr>
            </w:pPr>
            <w:r>
              <w:rPr>
                <w:rFonts w:ascii="Tahoma" w:hAnsi="Tahoma" w:cs="Tahoma"/>
                <w:color w:val="000000"/>
                <w:kern w:val="0"/>
                <w:sz w:val="16"/>
                <w:szCs w:val="16"/>
                <w:lang w:bidi="th-TH"/>
              </w:rPr>
              <w:t>52,229</w:t>
            </w:r>
          </w:p>
        </w:tc>
        <w:tc>
          <w:tcPr>
            <w:tcW w:w="702" w:type="dxa"/>
            <w:tcBorders>
              <w:top w:val="single" w:sz="4" w:space="0" w:color="auto"/>
              <w:left w:val="nil"/>
              <w:bottom w:val="single" w:sz="4" w:space="0" w:color="auto"/>
              <w:right w:val="single" w:sz="4" w:space="0" w:color="auto"/>
            </w:tcBorders>
            <w:noWrap/>
            <w:vAlign w:val="bottom"/>
          </w:tcPr>
          <w:p w14:paraId="4EA20FF3"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Pr>
                <w:rFonts w:ascii="Tahoma" w:eastAsia="Times New Roman" w:hAnsi="Tahoma" w:cs="Tahoma"/>
                <w:color w:val="000000"/>
                <w:kern w:val="0"/>
                <w:sz w:val="16"/>
                <w:szCs w:val="16"/>
                <w:lang w:bidi="th-TH"/>
              </w:rPr>
              <w:t>50,079</w:t>
            </w:r>
          </w:p>
        </w:tc>
        <w:tc>
          <w:tcPr>
            <w:tcW w:w="702" w:type="dxa"/>
            <w:tcBorders>
              <w:top w:val="single" w:sz="4" w:space="0" w:color="auto"/>
              <w:left w:val="nil"/>
              <w:bottom w:val="single" w:sz="4" w:space="0" w:color="auto"/>
              <w:right w:val="single" w:sz="4" w:space="0" w:color="auto"/>
            </w:tcBorders>
            <w:noWrap/>
            <w:vAlign w:val="bottom"/>
          </w:tcPr>
          <w:p w14:paraId="3A4AC0EF"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Pr>
                <w:rFonts w:ascii="Tahoma" w:eastAsia="Times New Roman" w:hAnsi="Tahoma" w:cs="Tahoma"/>
                <w:color w:val="000000"/>
                <w:kern w:val="0"/>
                <w:sz w:val="16"/>
                <w:szCs w:val="16"/>
                <w:lang w:bidi="th-TH"/>
              </w:rPr>
              <w:t>49,102</w:t>
            </w:r>
          </w:p>
        </w:tc>
        <w:tc>
          <w:tcPr>
            <w:tcW w:w="702" w:type="dxa"/>
            <w:tcBorders>
              <w:top w:val="single" w:sz="4" w:space="0" w:color="auto"/>
              <w:left w:val="nil"/>
              <w:bottom w:val="single" w:sz="4" w:space="0" w:color="auto"/>
              <w:right w:val="single" w:sz="4" w:space="0" w:color="auto"/>
            </w:tcBorders>
            <w:noWrap/>
            <w:vAlign w:val="bottom"/>
          </w:tcPr>
          <w:p w14:paraId="60D85AA0" w14:textId="77777777" w:rsidR="000A0534" w:rsidRPr="00477810" w:rsidRDefault="000A0534" w:rsidP="00D76D10">
            <w:pPr>
              <w:widowControl/>
              <w:jc w:val="right"/>
              <w:rPr>
                <w:rFonts w:ascii="Tahoma" w:eastAsia="Times New Roman" w:hAnsi="Tahoma" w:cs="Tahoma"/>
                <w:color w:val="000000"/>
                <w:kern w:val="0"/>
                <w:sz w:val="16"/>
                <w:szCs w:val="16"/>
                <w:lang w:bidi="th-TH"/>
              </w:rPr>
            </w:pPr>
            <w:r>
              <w:rPr>
                <w:rFonts w:ascii="Tahoma" w:eastAsia="Times New Roman" w:hAnsi="Tahoma" w:cs="Tahoma"/>
                <w:color w:val="000000"/>
                <w:kern w:val="0"/>
                <w:sz w:val="16"/>
                <w:szCs w:val="16"/>
                <w:lang w:bidi="th-TH"/>
              </w:rPr>
              <w:t>47,622</w:t>
            </w:r>
          </w:p>
        </w:tc>
        <w:tc>
          <w:tcPr>
            <w:tcW w:w="752" w:type="dxa"/>
            <w:tcBorders>
              <w:top w:val="single" w:sz="4" w:space="0" w:color="auto"/>
              <w:left w:val="nil"/>
              <w:bottom w:val="single" w:sz="4" w:space="0" w:color="auto"/>
              <w:right w:val="single" w:sz="4" w:space="0" w:color="auto"/>
            </w:tcBorders>
            <w:noWrap/>
            <w:vAlign w:val="bottom"/>
          </w:tcPr>
          <w:p w14:paraId="6719A91A" w14:textId="77777777" w:rsidR="000A0534" w:rsidRPr="00477810" w:rsidRDefault="000A0534" w:rsidP="00D76D10">
            <w:pPr>
              <w:widowControl/>
              <w:jc w:val="left"/>
              <w:rPr>
                <w:rFonts w:ascii="Tahoma" w:eastAsia="Times New Roman" w:hAnsi="Tahoma" w:cs="Tahoma"/>
                <w:color w:val="000000"/>
                <w:kern w:val="0"/>
                <w:sz w:val="16"/>
                <w:szCs w:val="16"/>
                <w:lang w:bidi="th-TH"/>
              </w:rPr>
            </w:pPr>
            <w:r w:rsidRPr="00477810">
              <w:rPr>
                <w:rFonts w:ascii="Tahoma" w:eastAsia="Times New Roman" w:hAnsi="Tahoma" w:cs="Tahoma"/>
                <w:color w:val="000000"/>
                <w:kern w:val="0"/>
                <w:sz w:val="16"/>
                <w:szCs w:val="16"/>
                <w:lang w:bidi="th-TH"/>
              </w:rPr>
              <w:t> </w:t>
            </w:r>
            <w:r>
              <w:rPr>
                <w:rFonts w:ascii="Tahoma" w:hAnsi="Tahoma" w:cs="Tahoma"/>
                <w:color w:val="000000"/>
                <w:kern w:val="0"/>
                <w:sz w:val="16"/>
                <w:szCs w:val="16"/>
                <w:lang w:bidi="th-TH"/>
              </w:rPr>
              <w:t>48,350</w:t>
            </w:r>
          </w:p>
        </w:tc>
        <w:tc>
          <w:tcPr>
            <w:tcW w:w="752" w:type="dxa"/>
            <w:tcBorders>
              <w:top w:val="single" w:sz="4" w:space="0" w:color="auto"/>
              <w:left w:val="nil"/>
              <w:bottom w:val="single" w:sz="4" w:space="0" w:color="auto"/>
              <w:right w:val="single" w:sz="4" w:space="0" w:color="auto"/>
            </w:tcBorders>
            <w:noWrap/>
            <w:vAlign w:val="bottom"/>
          </w:tcPr>
          <w:p w14:paraId="5E7949BF" w14:textId="77777777" w:rsidR="000A0534" w:rsidRPr="00477810" w:rsidRDefault="000A0534" w:rsidP="00D76D10">
            <w:pPr>
              <w:widowControl/>
              <w:jc w:val="left"/>
              <w:rPr>
                <w:rFonts w:ascii="Tahoma" w:eastAsia="Times New Roman" w:hAnsi="Tahoma" w:cs="Tahoma"/>
                <w:color w:val="000000"/>
                <w:kern w:val="0"/>
                <w:sz w:val="16"/>
                <w:szCs w:val="16"/>
                <w:lang w:bidi="th-TH"/>
              </w:rPr>
            </w:pPr>
          </w:p>
        </w:tc>
        <w:tc>
          <w:tcPr>
            <w:tcW w:w="752" w:type="dxa"/>
            <w:tcBorders>
              <w:top w:val="single" w:sz="4" w:space="0" w:color="auto"/>
              <w:left w:val="nil"/>
              <w:bottom w:val="single" w:sz="4" w:space="0" w:color="auto"/>
              <w:right w:val="single" w:sz="4" w:space="0" w:color="auto"/>
            </w:tcBorders>
            <w:noWrap/>
            <w:vAlign w:val="bottom"/>
          </w:tcPr>
          <w:p w14:paraId="6E0F1587" w14:textId="77777777" w:rsidR="000A0534" w:rsidRPr="00477810" w:rsidRDefault="000A0534" w:rsidP="00D76D10">
            <w:pPr>
              <w:widowControl/>
              <w:jc w:val="left"/>
              <w:rPr>
                <w:rFonts w:ascii="Tahoma" w:eastAsia="Times New Roman" w:hAnsi="Tahoma" w:cs="Tahoma"/>
                <w:color w:val="000000"/>
                <w:kern w:val="0"/>
                <w:sz w:val="16"/>
                <w:szCs w:val="16"/>
                <w:lang w:bidi="th-TH"/>
              </w:rPr>
            </w:pPr>
          </w:p>
        </w:tc>
        <w:tc>
          <w:tcPr>
            <w:tcW w:w="752" w:type="dxa"/>
            <w:tcBorders>
              <w:top w:val="single" w:sz="4" w:space="0" w:color="auto"/>
              <w:left w:val="nil"/>
              <w:bottom w:val="single" w:sz="4" w:space="0" w:color="auto"/>
              <w:right w:val="single" w:sz="4" w:space="0" w:color="auto"/>
            </w:tcBorders>
            <w:noWrap/>
            <w:vAlign w:val="bottom"/>
          </w:tcPr>
          <w:p w14:paraId="53B9C085" w14:textId="77777777" w:rsidR="000A0534" w:rsidRPr="00477810" w:rsidRDefault="000A0534" w:rsidP="00D76D10">
            <w:pPr>
              <w:widowControl/>
              <w:jc w:val="left"/>
              <w:rPr>
                <w:rFonts w:ascii="Tahoma" w:eastAsia="Times New Roman" w:hAnsi="Tahoma" w:cs="Tahoma"/>
                <w:color w:val="000000"/>
                <w:kern w:val="0"/>
                <w:sz w:val="16"/>
                <w:szCs w:val="16"/>
                <w:lang w:bidi="th-TH"/>
              </w:rPr>
            </w:pPr>
          </w:p>
        </w:tc>
      </w:tr>
    </w:tbl>
    <w:p w14:paraId="769BD1A9" w14:textId="77777777" w:rsidR="000A0534" w:rsidRDefault="000A0534" w:rsidP="000A0534">
      <w:pPr>
        <w:jc w:val="right"/>
        <w:rPr>
          <w:rFonts w:ascii="ＭＳ 明朝" w:eastAsia="ＭＳ 明朝" w:hAnsi="ＭＳ 明朝"/>
          <w:szCs w:val="21"/>
          <w:lang w:bidi="th-TH"/>
        </w:rPr>
      </w:pPr>
      <w:r w:rsidRPr="00EF294E">
        <w:rPr>
          <w:rFonts w:ascii="ＭＳ 明朝" w:eastAsia="ＭＳ 明朝" w:hAnsi="ＭＳ 明朝"/>
          <w:sz w:val="16"/>
          <w:szCs w:val="16"/>
          <w:lang w:bidi="th-TH"/>
        </w:rPr>
        <w:t>（</w:t>
      </w:r>
      <w:r w:rsidRPr="00162B63">
        <w:rPr>
          <w:rFonts w:ascii="ＭＳ 明朝" w:eastAsia="ＭＳ 明朝" w:hAnsi="ＭＳ 明朝"/>
          <w:sz w:val="16"/>
          <w:szCs w:val="16"/>
          <w:lang w:bidi="th-TH"/>
        </w:rPr>
        <w:t>トヨタ自動車タイランドの発表を元に筆者作成</w:t>
      </w:r>
      <w:r w:rsidRPr="00EF294E">
        <w:rPr>
          <w:rFonts w:ascii="ＭＳ 明朝" w:eastAsia="ＭＳ 明朝" w:hAnsi="ＭＳ 明朝"/>
          <w:sz w:val="16"/>
          <w:szCs w:val="16"/>
          <w:lang w:bidi="th-TH"/>
        </w:rPr>
        <w:t>）</w:t>
      </w:r>
    </w:p>
    <w:p w14:paraId="52C73FB2" w14:textId="77777777" w:rsidR="000A0534" w:rsidRDefault="000A0534" w:rsidP="000A0534">
      <w:pPr>
        <w:rPr>
          <w:rFonts w:ascii="ＭＳ 明朝" w:eastAsia="ＭＳ 明朝" w:hAnsi="ＭＳ 明朝"/>
          <w:szCs w:val="21"/>
          <w:lang w:bidi="th-TH"/>
        </w:rPr>
      </w:pPr>
    </w:p>
    <w:p w14:paraId="40E380E2" w14:textId="77777777" w:rsidR="000A0534" w:rsidRDefault="000A0534" w:rsidP="000A0534">
      <w:pPr>
        <w:rPr>
          <w:rFonts w:ascii="ＭＳ 明朝" w:eastAsia="ＭＳ 明朝" w:hAnsi="ＭＳ 明朝"/>
          <w:szCs w:val="21"/>
          <w:lang w:bidi="th-TH"/>
        </w:rPr>
      </w:pPr>
      <w:r w:rsidRPr="00162B63">
        <w:rPr>
          <w:rFonts w:ascii="ＭＳ 明朝" w:eastAsia="ＭＳ 明朝" w:hAnsi="ＭＳ 明朝"/>
          <w:szCs w:val="21"/>
          <w:lang w:bidi="th-TH"/>
        </w:rPr>
        <w:t xml:space="preserve">　</w:t>
      </w:r>
      <w:r>
        <w:rPr>
          <w:rFonts w:ascii="ＭＳ 明朝" w:eastAsia="ＭＳ 明朝" w:hAnsi="ＭＳ 明朝" w:hint="eastAsia"/>
          <w:szCs w:val="21"/>
          <w:lang w:bidi="th-TH"/>
        </w:rPr>
        <w:t>苦境が続くタイの自動車市場ですが、国内のEV（</w:t>
      </w:r>
      <w:r w:rsidRPr="004F0D40">
        <w:rPr>
          <w:rFonts w:ascii="ＭＳ 明朝" w:eastAsia="ＭＳ 明朝" w:hAnsi="ＭＳ 明朝"/>
          <w:szCs w:val="21"/>
          <w:lang w:bidi="th-TH"/>
        </w:rPr>
        <w:t>バッテリー式電気自動車</w:t>
      </w:r>
      <w:r>
        <w:rPr>
          <w:rFonts w:ascii="ＭＳ 明朝" w:eastAsia="ＭＳ 明朝" w:hAnsi="ＭＳ 明朝" w:hint="eastAsia"/>
          <w:szCs w:val="21"/>
          <w:lang w:bidi="th-TH"/>
        </w:rPr>
        <w:t>BEV、プラグインハイブリッドPHV、ハイブリッドHV）の生産台数は前年比プラスとなっています。</w:t>
      </w:r>
      <w:r w:rsidRPr="00162B63">
        <w:rPr>
          <w:rFonts w:ascii="ＭＳ 明朝" w:eastAsia="ＭＳ 明朝" w:hAnsi="ＭＳ 明朝"/>
          <w:szCs w:val="21"/>
          <w:lang w:bidi="th-TH"/>
        </w:rPr>
        <w:t>タイ政府は2024年から2027年までの4年間を対象としたEV普及策としてEV3.5という</w:t>
      </w:r>
      <w:r>
        <w:rPr>
          <w:rFonts w:ascii="ＭＳ 明朝" w:eastAsia="ＭＳ 明朝" w:hAnsi="ＭＳ 明朝" w:hint="eastAsia"/>
          <w:szCs w:val="21"/>
          <w:lang w:bidi="th-TH"/>
        </w:rPr>
        <w:t>新たな</w:t>
      </w:r>
      <w:r w:rsidRPr="00162B63">
        <w:rPr>
          <w:rFonts w:ascii="ＭＳ 明朝" w:eastAsia="ＭＳ 明朝" w:hAnsi="ＭＳ 明朝"/>
          <w:szCs w:val="21"/>
          <w:lang w:bidi="th-TH"/>
        </w:rPr>
        <w:t>支援措置をおこなっていま</w:t>
      </w:r>
      <w:r>
        <w:rPr>
          <w:rFonts w:ascii="ＭＳ 明朝" w:eastAsia="ＭＳ 明朝" w:hAnsi="ＭＳ 明朝" w:hint="eastAsia"/>
          <w:szCs w:val="21"/>
          <w:lang w:bidi="th-TH"/>
        </w:rPr>
        <w:t>す。</w:t>
      </w:r>
      <w:r w:rsidRPr="00162B63">
        <w:rPr>
          <w:rFonts w:ascii="ＭＳ 明朝" w:eastAsia="ＭＳ 明朝" w:hAnsi="ＭＳ 明朝"/>
          <w:szCs w:val="21"/>
          <w:lang w:bidi="th-TH"/>
        </w:rPr>
        <w:t>これはタイでEVが普及し始めた2022年～2023年に、EV普及策第一弾として発表された施策EV3.0のアップデート版で、国内生産と市場成長のさらなる強化を目的としています。</w:t>
      </w:r>
    </w:p>
    <w:p w14:paraId="4F56AE0C" w14:textId="77777777" w:rsidR="000A0534" w:rsidRDefault="000A0534" w:rsidP="000A0534">
      <w:pPr>
        <w:rPr>
          <w:rFonts w:ascii="ＭＳ 明朝" w:eastAsia="ＭＳ 明朝" w:hAnsi="ＭＳ 明朝"/>
          <w:szCs w:val="21"/>
          <w:lang w:bidi="th-TH"/>
        </w:rPr>
      </w:pPr>
    </w:p>
    <w:tbl>
      <w:tblPr>
        <w:tblStyle w:val="ab"/>
        <w:tblW w:w="10201" w:type="dxa"/>
        <w:tblLook w:val="04A0" w:firstRow="1" w:lastRow="0" w:firstColumn="1" w:lastColumn="0" w:noHBand="0" w:noVBand="1"/>
      </w:tblPr>
      <w:tblGrid>
        <w:gridCol w:w="988"/>
        <w:gridCol w:w="2409"/>
        <w:gridCol w:w="2977"/>
        <w:gridCol w:w="3827"/>
      </w:tblGrid>
      <w:tr w:rsidR="000A0534" w:rsidRPr="004F0D40" w14:paraId="12F55222" w14:textId="77777777" w:rsidTr="00D76D10">
        <w:tc>
          <w:tcPr>
            <w:tcW w:w="988" w:type="dxa"/>
          </w:tcPr>
          <w:p w14:paraId="4B5FD275" w14:textId="77777777" w:rsidR="000A0534" w:rsidRPr="004F0D40" w:rsidRDefault="000A0534" w:rsidP="00D76D10">
            <w:pPr>
              <w:rPr>
                <w:rFonts w:ascii="ＭＳ 明朝" w:eastAsia="ＭＳ 明朝" w:hAnsi="ＭＳ 明朝"/>
                <w:bCs/>
                <w:szCs w:val="21"/>
                <w:lang w:bidi="th-TH"/>
              </w:rPr>
            </w:pPr>
          </w:p>
        </w:tc>
        <w:tc>
          <w:tcPr>
            <w:tcW w:w="9213" w:type="dxa"/>
            <w:gridSpan w:val="3"/>
          </w:tcPr>
          <w:p w14:paraId="3619B303" w14:textId="77777777" w:rsidR="000A0534" w:rsidRPr="004F0D40" w:rsidRDefault="000A0534" w:rsidP="00D76D10">
            <w:pPr>
              <w:jc w:val="center"/>
              <w:rPr>
                <w:rFonts w:ascii="ＭＳ 明朝" w:eastAsia="ＭＳ 明朝" w:hAnsi="ＭＳ 明朝"/>
                <w:bCs/>
                <w:szCs w:val="21"/>
                <w:lang w:bidi="th-TH"/>
              </w:rPr>
            </w:pPr>
            <w:r w:rsidRPr="004F0D40">
              <w:rPr>
                <w:rFonts w:ascii="ＭＳ 明朝" w:eastAsia="ＭＳ 明朝" w:hAnsi="ＭＳ 明朝" w:hint="eastAsia"/>
                <w:bCs/>
                <w:szCs w:val="21"/>
                <w:lang w:bidi="th-TH"/>
              </w:rPr>
              <w:t>Thailand EV3.5</w:t>
            </w:r>
          </w:p>
        </w:tc>
      </w:tr>
      <w:tr w:rsidR="000A0534" w:rsidRPr="004F0D40" w14:paraId="750E6525" w14:textId="77777777" w:rsidTr="00D76D10">
        <w:tc>
          <w:tcPr>
            <w:tcW w:w="988" w:type="dxa"/>
            <w:vAlign w:val="center"/>
          </w:tcPr>
          <w:p w14:paraId="685CA63C"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対象</w:t>
            </w:r>
          </w:p>
        </w:tc>
        <w:tc>
          <w:tcPr>
            <w:tcW w:w="9213" w:type="dxa"/>
            <w:gridSpan w:val="3"/>
          </w:tcPr>
          <w:p w14:paraId="45623B5D"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乗用車、ピックアップトラック：価格200万バーツ（約880万、1バーツ約4.4円）以下</w:t>
            </w:r>
          </w:p>
          <w:p w14:paraId="648C4A61"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二輪車：価格15万バーツ以下</w:t>
            </w:r>
          </w:p>
        </w:tc>
      </w:tr>
      <w:tr w:rsidR="000A0534" w:rsidRPr="004F0D40" w14:paraId="59AEF80B" w14:textId="77777777" w:rsidTr="00D76D10">
        <w:tc>
          <w:tcPr>
            <w:tcW w:w="988" w:type="dxa"/>
            <w:vAlign w:val="center"/>
          </w:tcPr>
          <w:p w14:paraId="444B2A96"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補助金</w:t>
            </w:r>
          </w:p>
        </w:tc>
        <w:tc>
          <w:tcPr>
            <w:tcW w:w="9213" w:type="dxa"/>
            <w:gridSpan w:val="3"/>
          </w:tcPr>
          <w:p w14:paraId="12AD96EF"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乗用車</w:t>
            </w:r>
            <w:r w:rsidRPr="004F0D40">
              <w:rPr>
                <w:rFonts w:ascii="ＭＳ 明朝" w:eastAsia="ＭＳ 明朝" w:hAnsi="ＭＳ 明朝"/>
                <w:bCs/>
                <w:szCs w:val="21"/>
                <w:lang w:bidi="th-TH"/>
              </w:rPr>
              <w:t>バッテリー容量50kWh未満</w:t>
            </w:r>
            <w:r w:rsidRPr="004F0D40">
              <w:rPr>
                <w:rFonts w:ascii="ＭＳ 明朝" w:eastAsia="ＭＳ 明朝" w:hAnsi="ＭＳ 明朝" w:hint="eastAsia"/>
                <w:bCs/>
                <w:szCs w:val="21"/>
                <w:lang w:bidi="th-TH"/>
              </w:rPr>
              <w:t>：2024年5万バーツ、2025年3万5千バーツ、2026年～2027年2万5千バーツ</w:t>
            </w:r>
          </w:p>
          <w:p w14:paraId="28840B85"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乗用車バッテリー容量50kWh以上：2024年10万バーツ、2025年7万5千バーツ、2026年～2027年5万バーツ</w:t>
            </w:r>
          </w:p>
          <w:p w14:paraId="6CBAA5BC"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ピックアップトラック：2024年～2027年10万バーツ（タイ国内で製造されたものに限る）</w:t>
            </w:r>
          </w:p>
          <w:p w14:paraId="4F7514E2"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二輪車バッテリー容量3kWh以上：2024年～2027年1万バーツ（タイ国内で製造されたものに限る）</w:t>
            </w:r>
          </w:p>
        </w:tc>
      </w:tr>
      <w:tr w:rsidR="000A0534" w:rsidRPr="004F0D40" w14:paraId="1F6897FC" w14:textId="77777777" w:rsidTr="00D76D10">
        <w:tc>
          <w:tcPr>
            <w:tcW w:w="988" w:type="dxa"/>
            <w:vAlign w:val="center"/>
          </w:tcPr>
          <w:p w14:paraId="286EA4F3"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関税</w:t>
            </w:r>
          </w:p>
          <w:p w14:paraId="37BAC7C8"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物品税</w:t>
            </w:r>
          </w:p>
        </w:tc>
        <w:tc>
          <w:tcPr>
            <w:tcW w:w="9213" w:type="dxa"/>
            <w:gridSpan w:val="3"/>
          </w:tcPr>
          <w:p w14:paraId="138F24C4"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完成車輸入時の関税：200万バーツ以下のEV乗用車：2024年～2025年の2年間、最大40％の引き下げ</w:t>
            </w:r>
          </w:p>
          <w:p w14:paraId="75823643"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物品税：700万バーツ以下のEV乗用車：8％から2％に減税</w:t>
            </w:r>
          </w:p>
        </w:tc>
      </w:tr>
      <w:tr w:rsidR="000A0534" w:rsidRPr="004F0D40" w14:paraId="3379FE1B" w14:textId="77777777" w:rsidTr="00D76D10">
        <w:tc>
          <w:tcPr>
            <w:tcW w:w="988" w:type="dxa"/>
            <w:vMerge w:val="restart"/>
            <w:vAlign w:val="center"/>
          </w:tcPr>
          <w:p w14:paraId="0A9B6AE7"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条件</w:t>
            </w:r>
          </w:p>
        </w:tc>
        <w:tc>
          <w:tcPr>
            <w:tcW w:w="2409" w:type="dxa"/>
          </w:tcPr>
          <w:p w14:paraId="0760D6EB"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現地生産開始時期</w:t>
            </w:r>
          </w:p>
        </w:tc>
        <w:tc>
          <w:tcPr>
            <w:tcW w:w="2977" w:type="dxa"/>
          </w:tcPr>
          <w:p w14:paraId="2921B549"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2026年</w:t>
            </w:r>
          </w:p>
        </w:tc>
        <w:tc>
          <w:tcPr>
            <w:tcW w:w="3827" w:type="dxa"/>
          </w:tcPr>
          <w:p w14:paraId="0D34890A"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2027年</w:t>
            </w:r>
          </w:p>
        </w:tc>
      </w:tr>
      <w:tr w:rsidR="000A0534" w:rsidRPr="004F0D40" w14:paraId="76781F84" w14:textId="77777777" w:rsidTr="00D76D10">
        <w:tc>
          <w:tcPr>
            <w:tcW w:w="988" w:type="dxa"/>
            <w:vMerge/>
          </w:tcPr>
          <w:p w14:paraId="6A16117F" w14:textId="77777777" w:rsidR="000A0534" w:rsidRPr="004F0D40" w:rsidRDefault="000A0534" w:rsidP="00D76D10">
            <w:pPr>
              <w:rPr>
                <w:rFonts w:ascii="ＭＳ 明朝" w:eastAsia="ＭＳ 明朝" w:hAnsi="ＭＳ 明朝"/>
                <w:bCs/>
                <w:szCs w:val="21"/>
                <w:lang w:bidi="th-TH"/>
              </w:rPr>
            </w:pPr>
          </w:p>
        </w:tc>
        <w:tc>
          <w:tcPr>
            <w:tcW w:w="2409" w:type="dxa"/>
          </w:tcPr>
          <w:p w14:paraId="6BAA1E1C"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hint="eastAsia"/>
                <w:bCs/>
                <w:szCs w:val="21"/>
                <w:lang w:bidi="th-TH"/>
              </w:rPr>
              <w:t>必要な完成車生産台数（乗用車）</w:t>
            </w:r>
          </w:p>
        </w:tc>
        <w:tc>
          <w:tcPr>
            <w:tcW w:w="2977" w:type="dxa"/>
          </w:tcPr>
          <w:p w14:paraId="7852045D"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当該補助金を受けて輸入したEV完成車の台数の2倍以上</w:t>
            </w:r>
          </w:p>
        </w:tc>
        <w:tc>
          <w:tcPr>
            <w:tcW w:w="3827" w:type="dxa"/>
          </w:tcPr>
          <w:p w14:paraId="7D7E6F13" w14:textId="77777777" w:rsidR="000A0534" w:rsidRPr="004F0D40" w:rsidRDefault="000A0534" w:rsidP="00D76D10">
            <w:pPr>
              <w:rPr>
                <w:rFonts w:ascii="ＭＳ 明朝" w:eastAsia="ＭＳ 明朝" w:hAnsi="ＭＳ 明朝"/>
                <w:bCs/>
                <w:szCs w:val="21"/>
                <w:lang w:bidi="th-TH"/>
              </w:rPr>
            </w:pPr>
            <w:r w:rsidRPr="004F0D40">
              <w:rPr>
                <w:rFonts w:ascii="ＭＳ 明朝" w:eastAsia="ＭＳ 明朝" w:hAnsi="ＭＳ 明朝"/>
                <w:bCs/>
                <w:szCs w:val="21"/>
                <w:lang w:bidi="th-TH"/>
              </w:rPr>
              <w:t>当該補助金を受けて輸入したEV完成車の台数の3倍以上</w:t>
            </w:r>
          </w:p>
        </w:tc>
      </w:tr>
    </w:tbl>
    <w:p w14:paraId="795DEF47" w14:textId="77777777" w:rsidR="000A0534" w:rsidRDefault="000A0534" w:rsidP="000A0534">
      <w:pPr>
        <w:rPr>
          <w:rFonts w:ascii="ＭＳ 明朝" w:eastAsia="ＭＳ 明朝" w:hAnsi="ＭＳ 明朝"/>
          <w:szCs w:val="21"/>
          <w:lang w:bidi="th-TH"/>
        </w:rPr>
      </w:pPr>
    </w:p>
    <w:p w14:paraId="23B17F64" w14:textId="77777777" w:rsidR="000A0534" w:rsidRDefault="000A0534" w:rsidP="000A0534">
      <w:pPr>
        <w:rPr>
          <w:rFonts w:ascii="ＭＳ 明朝" w:eastAsia="ＭＳ 明朝" w:hAnsi="ＭＳ 明朝"/>
          <w:szCs w:val="21"/>
          <w:lang w:bidi="th-TH"/>
        </w:rPr>
      </w:pPr>
    </w:p>
    <w:p w14:paraId="19E27273" w14:textId="77777777" w:rsidR="000A0534" w:rsidRDefault="000A0534">
      <w:pPr>
        <w:widowControl/>
        <w:spacing w:after="160" w:line="259" w:lineRule="auto"/>
        <w:jc w:val="left"/>
        <w:rPr>
          <w:rFonts w:ascii="ＭＳ 明朝" w:eastAsia="ＭＳ 明朝" w:hAnsi="ＭＳ 明朝"/>
          <w:szCs w:val="21"/>
          <w:lang w:bidi="th-TH"/>
        </w:rPr>
      </w:pPr>
      <w:r>
        <w:rPr>
          <w:rFonts w:ascii="ＭＳ 明朝" w:eastAsia="ＭＳ 明朝" w:hAnsi="ＭＳ 明朝"/>
          <w:szCs w:val="21"/>
          <w:lang w:bidi="th-TH"/>
        </w:rPr>
        <w:br w:type="page"/>
      </w:r>
    </w:p>
    <w:p w14:paraId="6B70D7E6" w14:textId="7F2A6E9D"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lastRenderedPageBreak/>
        <w:t>②現地日系企業の動向</w:t>
      </w:r>
    </w:p>
    <w:p w14:paraId="631771B6" w14:textId="77777777" w:rsidR="000A0534" w:rsidRPr="00035242" w:rsidRDefault="000A0534" w:rsidP="000A0534">
      <w:pPr>
        <w:rPr>
          <w:rFonts w:ascii="ＭＳ 明朝" w:eastAsia="ＭＳ 明朝" w:hAnsi="ＭＳ 明朝"/>
          <w:szCs w:val="21"/>
          <w:lang w:bidi="th-TH"/>
        </w:rPr>
      </w:pPr>
      <w:r>
        <w:rPr>
          <w:rFonts w:ascii="ＭＳ 明朝" w:eastAsia="ＭＳ 明朝" w:hAnsi="ＭＳ 明朝" w:hint="eastAsia"/>
          <w:szCs w:val="21"/>
        </w:rPr>
        <w:t xml:space="preserve">　</w:t>
      </w:r>
      <w:r>
        <w:rPr>
          <w:rFonts w:ascii="ＭＳ 明朝" w:eastAsia="ＭＳ 明朝" w:hAnsi="ＭＳ 明朝"/>
          <w:szCs w:val="21"/>
        </w:rPr>
        <w:t>盤谷日本人商工会議所（ＪＣＣ）が</w:t>
      </w:r>
      <w:r>
        <w:rPr>
          <w:rFonts w:ascii="ＭＳ 明朝" w:eastAsia="ＭＳ 明朝" w:hAnsi="ＭＳ 明朝" w:hint="eastAsia"/>
          <w:szCs w:val="21"/>
        </w:rPr>
        <w:t>8</w:t>
      </w:r>
      <w:r w:rsidRPr="00035242">
        <w:rPr>
          <w:rFonts w:ascii="ＭＳ 明朝" w:eastAsia="ＭＳ 明朝" w:hAnsi="ＭＳ 明朝"/>
          <w:szCs w:val="21"/>
        </w:rPr>
        <w:t>月</w:t>
      </w:r>
      <w:r>
        <w:rPr>
          <w:rFonts w:ascii="ＭＳ 明朝" w:eastAsia="ＭＳ 明朝" w:hAnsi="ＭＳ 明朝"/>
          <w:szCs w:val="21"/>
        </w:rPr>
        <w:t>1</w:t>
      </w:r>
      <w:r w:rsidRPr="00035242">
        <w:rPr>
          <w:rFonts w:ascii="ＭＳ 明朝" w:eastAsia="ＭＳ 明朝" w:hAnsi="ＭＳ 明朝"/>
          <w:szCs w:val="21"/>
        </w:rPr>
        <w:t>日</w:t>
      </w:r>
      <w:r>
        <w:rPr>
          <w:rFonts w:ascii="ＭＳ 明朝" w:eastAsia="ＭＳ 明朝" w:hAnsi="ＭＳ 明朝" w:hint="eastAsia"/>
          <w:szCs w:val="21"/>
        </w:rPr>
        <w:t>に</w:t>
      </w:r>
      <w:r w:rsidRPr="00035242">
        <w:rPr>
          <w:rFonts w:ascii="ＭＳ 明朝" w:eastAsia="ＭＳ 明朝" w:hAnsi="ＭＳ 明朝"/>
          <w:szCs w:val="21"/>
        </w:rPr>
        <w:t>発表した日系企業の景気動向調査によると、</w:t>
      </w:r>
      <w:r>
        <w:rPr>
          <w:rFonts w:ascii="ＭＳ 明朝" w:eastAsia="ＭＳ 明朝" w:hAnsi="ＭＳ 明朝"/>
          <w:szCs w:val="21"/>
        </w:rPr>
        <w:t>2025年下</w:t>
      </w:r>
      <w:r>
        <w:rPr>
          <w:rFonts w:ascii="ＭＳ 明朝" w:eastAsia="ＭＳ 明朝" w:hAnsi="ＭＳ 明朝" w:hint="eastAsia"/>
          <w:szCs w:val="21"/>
        </w:rPr>
        <w:t>上半期</w:t>
      </w:r>
      <w:r>
        <w:rPr>
          <w:rFonts w:ascii="ＭＳ 明朝" w:eastAsia="ＭＳ 明朝" w:hAnsi="ＭＳ 明朝"/>
          <w:szCs w:val="21"/>
        </w:rPr>
        <w:t>（見通し）の業況感指数（ＤＩ）</w:t>
      </w:r>
      <w:r w:rsidRPr="00035242">
        <w:rPr>
          <w:rFonts w:ascii="ＭＳ 明朝" w:eastAsia="ＭＳ 明朝" w:hAnsi="ＭＳ 明朝"/>
          <w:szCs w:val="21"/>
        </w:rPr>
        <w:t>はマイナス</w:t>
      </w:r>
      <w:r>
        <w:rPr>
          <w:rFonts w:ascii="ＭＳ 明朝" w:eastAsia="ＭＳ 明朝" w:hAnsi="ＭＳ 明朝"/>
          <w:szCs w:val="21"/>
        </w:rPr>
        <w:t>7</w:t>
      </w:r>
      <w:r>
        <w:rPr>
          <w:rFonts w:ascii="ＭＳ 明朝" w:eastAsia="ＭＳ 明朝" w:hAnsi="ＭＳ 明朝" w:hint="eastAsia"/>
          <w:szCs w:val="21"/>
          <w:lang w:bidi="th-TH"/>
        </w:rPr>
        <w:t>と、2024年下半期（実績）のマイナス</w:t>
      </w:r>
      <w:r>
        <w:rPr>
          <w:rFonts w:ascii="ＭＳ 明朝" w:eastAsia="ＭＳ 明朝" w:hAnsi="ＭＳ 明朝"/>
          <w:szCs w:val="21"/>
          <w:lang w:bidi="th-TH"/>
        </w:rPr>
        <w:t>11</w:t>
      </w:r>
      <w:r>
        <w:rPr>
          <w:rFonts w:ascii="ＭＳ 明朝" w:eastAsia="ＭＳ 明朝" w:hAnsi="ＭＳ 明朝" w:hint="eastAsia"/>
          <w:szCs w:val="21"/>
          <w:lang w:bidi="th-TH"/>
        </w:rPr>
        <w:t>から</w:t>
      </w:r>
      <w:r>
        <w:rPr>
          <w:rFonts w:ascii="ＭＳ 明朝" w:eastAsia="ＭＳ 明朝" w:hAnsi="ＭＳ 明朝"/>
          <w:szCs w:val="21"/>
          <w:lang w:bidi="th-TH"/>
        </w:rPr>
        <w:t>4</w:t>
      </w:r>
      <w:r>
        <w:rPr>
          <w:rFonts w:ascii="ＭＳ 明朝" w:eastAsia="ＭＳ 明朝" w:hAnsi="ＭＳ 明朝" w:hint="eastAsia"/>
          <w:szCs w:val="21"/>
          <w:lang w:bidi="th-TH"/>
        </w:rPr>
        <w:t>ポイント上昇したものの、国内の耐久財消費の不振や外国人旅行者数の減少などの要因から引き続きマイナスとなりました。20</w:t>
      </w:r>
      <w:r>
        <w:rPr>
          <w:rFonts w:ascii="ＭＳ 明朝" w:eastAsia="ＭＳ 明朝" w:hAnsi="ＭＳ 明朝"/>
          <w:szCs w:val="21"/>
          <w:lang w:bidi="th-TH"/>
        </w:rPr>
        <w:t>25</w:t>
      </w:r>
      <w:r>
        <w:rPr>
          <w:rFonts w:ascii="ＭＳ 明朝" w:eastAsia="ＭＳ 明朝" w:hAnsi="ＭＳ 明朝" w:hint="eastAsia"/>
          <w:szCs w:val="21"/>
          <w:lang w:bidi="th-TH"/>
        </w:rPr>
        <w:t>年下半期（見通し）はタイ政府の政策や国内の耐久財消費の回復への期待などがある一方、米国関税の景況への懸念もあり、マイナス2となる見込みです。</w:t>
      </w:r>
      <w:r w:rsidRPr="00C643C8">
        <w:rPr>
          <w:rFonts w:ascii="ＭＳ 明朝" w:eastAsia="ＭＳ 明朝" w:hAnsi="ＭＳ 明朝"/>
          <w:sz w:val="18"/>
          <w:szCs w:val="18"/>
        </w:rPr>
        <w:t>※ＤＩは前期に比べて業況が「上向く（上向いた）」との回答比率から、「悪化する（悪化した）」との回答比率を引いた値。業況が改善した企業が多いとプラスになる。</w:t>
      </w:r>
    </w:p>
    <w:p w14:paraId="15724755" w14:textId="77777777" w:rsidR="000A0534" w:rsidRDefault="000A0534" w:rsidP="000A0534">
      <w:pPr>
        <w:rPr>
          <w:rFonts w:ascii="ＭＳ 明朝" w:eastAsia="ＭＳ 明朝" w:hAnsi="ＭＳ 明朝"/>
          <w:szCs w:val="21"/>
        </w:rPr>
      </w:pPr>
      <w:r>
        <w:rPr>
          <w:rFonts w:ascii="ＭＳ 明朝" w:eastAsia="ＭＳ 明朝" w:hAnsi="ＭＳ 明朝"/>
          <w:szCs w:val="21"/>
        </w:rPr>
        <w:t xml:space="preserve">　</w:t>
      </w:r>
      <w:r w:rsidRPr="003D67D4">
        <w:rPr>
          <w:rFonts w:ascii="ＭＳ 明朝" w:eastAsia="ＭＳ 明朝" w:hAnsi="ＭＳ 明朝"/>
          <w:szCs w:val="21"/>
        </w:rPr>
        <w:t>業種別のＤＩは、「</w:t>
      </w:r>
      <w:r>
        <w:rPr>
          <w:rFonts w:ascii="ＭＳ 明朝" w:eastAsia="ＭＳ 明朝" w:hAnsi="ＭＳ 明朝" w:hint="eastAsia"/>
          <w:szCs w:val="21"/>
        </w:rPr>
        <w:t>鉄鋼・非鉄</w:t>
      </w:r>
      <w:r w:rsidRPr="003D67D4">
        <w:rPr>
          <w:rFonts w:ascii="ＭＳ 明朝" w:eastAsia="ＭＳ 明朝" w:hAnsi="ＭＳ 明朝"/>
          <w:szCs w:val="21"/>
        </w:rPr>
        <w:t>」がマイナス</w:t>
      </w:r>
      <w:r>
        <w:rPr>
          <w:rFonts w:ascii="ＭＳ 明朝" w:eastAsia="ＭＳ 明朝" w:hAnsi="ＭＳ 明朝"/>
          <w:szCs w:val="21"/>
        </w:rPr>
        <w:t>10</w:t>
      </w:r>
      <w:r>
        <w:rPr>
          <w:rFonts w:ascii="ＭＳ 明朝" w:eastAsia="ＭＳ 明朝" w:hAnsi="ＭＳ 明朝" w:hint="eastAsia"/>
          <w:szCs w:val="21"/>
          <w:lang w:bidi="th-TH"/>
        </w:rPr>
        <w:t>、</w:t>
      </w:r>
      <w:r w:rsidRPr="003D67D4">
        <w:rPr>
          <w:rFonts w:ascii="ＭＳ 明朝" w:eastAsia="ＭＳ 明朝" w:hAnsi="ＭＳ 明朝"/>
          <w:szCs w:val="21"/>
        </w:rPr>
        <w:t>「</w:t>
      </w:r>
      <w:r>
        <w:rPr>
          <w:rFonts w:ascii="ＭＳ 明朝" w:eastAsia="ＭＳ 明朝" w:hAnsi="ＭＳ 明朝" w:hint="eastAsia"/>
          <w:szCs w:val="21"/>
        </w:rPr>
        <w:t>電気・電子機械</w:t>
      </w:r>
      <w:r w:rsidRPr="003D67D4">
        <w:rPr>
          <w:rFonts w:ascii="ＭＳ 明朝" w:eastAsia="ＭＳ 明朝" w:hAnsi="ＭＳ 明朝"/>
          <w:szCs w:val="21"/>
        </w:rPr>
        <w:t>」がマイナス</w:t>
      </w:r>
      <w:r>
        <w:rPr>
          <w:rFonts w:ascii="ＭＳ 明朝" w:eastAsia="ＭＳ 明朝" w:hAnsi="ＭＳ 明朝"/>
          <w:szCs w:val="21"/>
        </w:rPr>
        <w:t>7</w:t>
      </w:r>
      <w:r>
        <w:rPr>
          <w:rFonts w:ascii="ＭＳ 明朝" w:eastAsia="ＭＳ 明朝" w:hAnsi="ＭＳ 明朝" w:hint="eastAsia"/>
          <w:szCs w:val="21"/>
          <w:lang w:bidi="th-TH"/>
        </w:rPr>
        <w:t>、</w:t>
      </w:r>
      <w:r w:rsidRPr="003D67D4">
        <w:rPr>
          <w:rFonts w:ascii="ＭＳ 明朝" w:eastAsia="ＭＳ 明朝" w:hAnsi="ＭＳ 明朝"/>
          <w:szCs w:val="21"/>
        </w:rPr>
        <w:t>「</w:t>
      </w:r>
      <w:r>
        <w:rPr>
          <w:rFonts w:ascii="ＭＳ 明朝" w:eastAsia="ＭＳ 明朝" w:hAnsi="ＭＳ 明朝" w:hint="eastAsia"/>
          <w:szCs w:val="21"/>
        </w:rPr>
        <w:t>輸送用機械</w:t>
      </w:r>
      <w:r w:rsidRPr="003D67D4">
        <w:rPr>
          <w:rFonts w:ascii="ＭＳ 明朝" w:eastAsia="ＭＳ 明朝" w:hAnsi="ＭＳ 明朝"/>
          <w:szCs w:val="21"/>
        </w:rPr>
        <w:t>」がマイナス</w:t>
      </w:r>
      <w:r>
        <w:rPr>
          <w:rFonts w:ascii="ＭＳ 明朝" w:eastAsia="ＭＳ 明朝" w:hAnsi="ＭＳ 明朝"/>
          <w:szCs w:val="21"/>
        </w:rPr>
        <w:t>3</w:t>
      </w:r>
      <w:r>
        <w:rPr>
          <w:rFonts w:ascii="ＭＳ 明朝" w:eastAsia="ＭＳ 明朝" w:hAnsi="ＭＳ 明朝" w:hint="eastAsia"/>
          <w:szCs w:val="21"/>
        </w:rPr>
        <w:t>な</w:t>
      </w:r>
      <w:r w:rsidRPr="003D67D4">
        <w:rPr>
          <w:rFonts w:ascii="ＭＳ 明朝" w:eastAsia="ＭＳ 明朝" w:hAnsi="ＭＳ 明朝"/>
          <w:szCs w:val="21"/>
        </w:rPr>
        <w:t>どで</w:t>
      </w:r>
      <w:r>
        <w:rPr>
          <w:rFonts w:ascii="ＭＳ 明朝" w:eastAsia="ＭＳ 明朝" w:hAnsi="ＭＳ 明朝" w:hint="eastAsia"/>
          <w:szCs w:val="21"/>
        </w:rPr>
        <w:t>マイナス</w:t>
      </w:r>
      <w:r w:rsidRPr="003D67D4">
        <w:rPr>
          <w:rFonts w:ascii="ＭＳ 明朝" w:eastAsia="ＭＳ 明朝" w:hAnsi="ＭＳ 明朝"/>
          <w:szCs w:val="21"/>
        </w:rPr>
        <w:t>指数</w:t>
      </w:r>
      <w:r>
        <w:rPr>
          <w:rFonts w:ascii="ＭＳ 明朝" w:eastAsia="ＭＳ 明朝" w:hAnsi="ＭＳ 明朝" w:hint="eastAsia"/>
          <w:szCs w:val="21"/>
        </w:rPr>
        <w:t>となっていますが、2024年下半期と比べるとマイナス幅が少なくなっています。「繊維」は2024年下半期のマイナス54からプラス8と大幅に回復しており、プラス33の「食品」とともに好調です。</w:t>
      </w:r>
    </w:p>
    <w:p w14:paraId="5C275727" w14:textId="77777777" w:rsidR="000A0534" w:rsidRPr="00201FB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日系企業が抱える経営上の問題点（複数回答）として、「他社との競争の激化」が6</w:t>
      </w:r>
      <w:r>
        <w:rPr>
          <w:rFonts w:ascii="ＭＳ 明朝" w:eastAsia="ＭＳ 明朝" w:hAnsi="ＭＳ 明朝"/>
          <w:szCs w:val="21"/>
          <w:lang w:bidi="th-TH"/>
        </w:rPr>
        <w:t>8</w:t>
      </w:r>
      <w:r>
        <w:rPr>
          <w:rFonts w:ascii="ＭＳ 明朝" w:eastAsia="ＭＳ 明朝" w:hAnsi="ＭＳ 明朝" w:hint="eastAsia"/>
          <w:szCs w:val="21"/>
          <w:lang w:bidi="th-TH"/>
        </w:rPr>
        <w:t>%と第1位になっており、続いて「国内需要の低迷」が42％で2位、「総人件費の上昇」が40％で3位と、1年前の同調査と同じ結果となっています。</w:t>
      </w:r>
    </w:p>
    <w:p w14:paraId="6C4753C0" w14:textId="77777777" w:rsidR="000A0534" w:rsidRDefault="000A0534" w:rsidP="000A0534">
      <w:pPr>
        <w:rPr>
          <w:rFonts w:ascii="ＭＳ 明朝" w:eastAsia="ＭＳ 明朝" w:hAnsi="ＭＳ 明朝"/>
          <w:szCs w:val="21"/>
        </w:rPr>
      </w:pPr>
    </w:p>
    <w:p w14:paraId="0764CBC3"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w:t>
      </w:r>
      <w:r w:rsidRPr="00AB7C43">
        <w:rPr>
          <w:rFonts w:ascii="ＭＳ 明朝" w:eastAsia="ＭＳ 明朝" w:hAnsi="ＭＳ 明朝" w:hint="eastAsia"/>
          <w:szCs w:val="21"/>
          <w:lang w:bidi="th-TH"/>
        </w:rPr>
        <w:t>③</w:t>
      </w:r>
      <w:r w:rsidRPr="00AB7C43">
        <w:rPr>
          <w:rFonts w:ascii="ＭＳ 明朝" w:eastAsia="ＭＳ 明朝" w:hAnsi="ＭＳ 明朝"/>
          <w:szCs w:val="21"/>
          <w:lang w:bidi="th-TH"/>
        </w:rPr>
        <w:t>進出相談傾向</w:t>
      </w:r>
    </w:p>
    <w:p w14:paraId="40E9B79B"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w:t>
      </w:r>
      <w:r w:rsidRPr="003209F3">
        <w:rPr>
          <w:rFonts w:ascii="ＭＳ 明朝" w:eastAsia="ＭＳ 明朝" w:hAnsi="ＭＳ 明朝" w:hint="eastAsia"/>
          <w:szCs w:val="21"/>
          <w:lang w:bidi="th-TH"/>
        </w:rPr>
        <w:t>弊社への進出相談の件数では、202</w:t>
      </w:r>
      <w:r>
        <w:rPr>
          <w:rFonts w:ascii="ＭＳ 明朝" w:eastAsia="ＭＳ 明朝" w:hAnsi="ＭＳ 明朝"/>
          <w:szCs w:val="21"/>
          <w:lang w:bidi="th-TH"/>
        </w:rPr>
        <w:t>5</w:t>
      </w:r>
      <w:r w:rsidRPr="003209F3">
        <w:rPr>
          <w:rFonts w:ascii="ＭＳ 明朝" w:eastAsia="ＭＳ 明朝" w:hAnsi="ＭＳ 明朝" w:hint="eastAsia"/>
          <w:szCs w:val="21"/>
          <w:lang w:bidi="th-TH"/>
        </w:rPr>
        <w:t>年</w:t>
      </w:r>
      <w:r>
        <w:rPr>
          <w:rFonts w:ascii="ＭＳ 明朝" w:eastAsia="ＭＳ 明朝" w:hAnsi="ＭＳ 明朝" w:hint="eastAsia"/>
          <w:szCs w:val="21"/>
          <w:lang w:bidi="th-TH"/>
        </w:rPr>
        <w:t>上</w:t>
      </w:r>
      <w:r w:rsidRPr="003209F3">
        <w:rPr>
          <w:rFonts w:ascii="ＭＳ 明朝" w:eastAsia="ＭＳ 明朝" w:hAnsi="ＭＳ 明朝" w:hint="eastAsia"/>
          <w:szCs w:val="21"/>
          <w:lang w:bidi="th-TH"/>
        </w:rPr>
        <w:t>半期は前年に比べてほぼ同数でした。内訳としてはほとんどが非製造業（IT、飲食関連、商社、エンジニアリングサービス、駐在員事務所等）</w:t>
      </w:r>
      <w:r>
        <w:rPr>
          <w:rFonts w:ascii="ＭＳ 明朝" w:eastAsia="ＭＳ 明朝" w:hAnsi="ＭＳ 明朝" w:hint="eastAsia"/>
          <w:szCs w:val="21"/>
          <w:lang w:bidi="th-TH"/>
        </w:rPr>
        <w:t>と、前期と同じ傾向</w:t>
      </w:r>
      <w:r w:rsidRPr="003209F3">
        <w:rPr>
          <w:rFonts w:ascii="ＭＳ 明朝" w:eastAsia="ＭＳ 明朝" w:hAnsi="ＭＳ 明朝" w:hint="eastAsia"/>
          <w:szCs w:val="21"/>
          <w:lang w:bidi="th-TH"/>
        </w:rPr>
        <w:t>でした。</w:t>
      </w:r>
    </w:p>
    <w:p w14:paraId="61357EE3"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w:t>
      </w:r>
    </w:p>
    <w:p w14:paraId="5C51B28A" w14:textId="77777777" w:rsidR="000A0534" w:rsidRPr="00CA2BE1" w:rsidRDefault="000A0534" w:rsidP="000A0534">
      <w:pPr>
        <w:ind w:firstLineChars="100" w:firstLine="210"/>
        <w:rPr>
          <w:rFonts w:ascii="ＭＳ 明朝" w:eastAsia="ＭＳ 明朝" w:hAnsi="ＭＳ 明朝"/>
          <w:szCs w:val="21"/>
          <w:lang w:bidi="th-TH"/>
        </w:rPr>
      </w:pPr>
      <w:r>
        <w:rPr>
          <w:rFonts w:ascii="ＭＳ 明朝" w:eastAsia="ＭＳ 明朝" w:hAnsi="ＭＳ 明朝" w:hint="eastAsia"/>
          <w:szCs w:val="21"/>
          <w:lang w:bidi="th-TH"/>
        </w:rPr>
        <w:t>大手日系企業の動向としては、大手日系自動車メーカーのEV関連の動きが活発化しています。</w:t>
      </w:r>
    </w:p>
    <w:p w14:paraId="453B3D70"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w:t>
      </w:r>
      <w:r>
        <w:rPr>
          <w:rFonts w:ascii="ＭＳ 明朝" w:eastAsia="ＭＳ 明朝" w:hAnsi="ＭＳ 明朝" w:hint="eastAsia"/>
          <w:szCs w:val="21"/>
          <w:lang w:bidi="th-TH"/>
        </w:rPr>
        <w:t>トヨタ</w:t>
      </w:r>
      <w:r>
        <w:rPr>
          <w:rFonts w:ascii="ＭＳ 明朝" w:eastAsia="ＭＳ 明朝" w:hAnsi="ＭＳ 明朝"/>
          <w:szCs w:val="21"/>
          <w:lang w:bidi="th-TH"/>
        </w:rPr>
        <w:t>…</w:t>
      </w:r>
      <w:r w:rsidRPr="00E71D49">
        <w:rPr>
          <w:rFonts w:ascii="ＭＳ 明朝" w:eastAsia="ＭＳ 明朝" w:hAnsi="ＭＳ 明朝"/>
          <w:szCs w:val="21"/>
          <w:lang w:bidi="th-TH"/>
        </w:rPr>
        <w:t>電動</w:t>
      </w:r>
      <w:r>
        <w:rPr>
          <w:rFonts w:ascii="ＭＳ 明朝" w:eastAsia="ＭＳ 明朝" w:hAnsi="ＭＳ 明朝" w:hint="eastAsia"/>
          <w:szCs w:val="21"/>
          <w:lang w:bidi="th-TH"/>
        </w:rPr>
        <w:t>SUV「bZ4X」を</w:t>
      </w:r>
      <w:r w:rsidRPr="00E71D49">
        <w:rPr>
          <w:rFonts w:ascii="ＭＳ 明朝" w:eastAsia="ＭＳ 明朝" w:hAnsi="ＭＳ 明朝"/>
          <w:szCs w:val="21"/>
          <w:lang w:bidi="th-TH"/>
        </w:rPr>
        <w:t>マイナーチェンジして再投入</w:t>
      </w:r>
      <w:r>
        <w:rPr>
          <w:rFonts w:ascii="ＭＳ 明朝" w:eastAsia="ＭＳ 明朝" w:hAnsi="ＭＳ 明朝" w:hint="eastAsia"/>
          <w:szCs w:val="21"/>
          <w:lang w:bidi="th-TH"/>
        </w:rPr>
        <w:t>、HV</w:t>
      </w:r>
      <w:r w:rsidRPr="00E71D49">
        <w:rPr>
          <w:rFonts w:ascii="ＭＳ 明朝" w:eastAsia="ＭＳ 明朝" w:hAnsi="ＭＳ 明朝"/>
          <w:szCs w:val="21"/>
          <w:lang w:bidi="th-TH"/>
        </w:rPr>
        <w:t>の小型セダン「ヤリス</w:t>
      </w:r>
      <w:r>
        <w:rPr>
          <w:rFonts w:ascii="ＭＳ 明朝" w:eastAsia="ＭＳ 明朝" w:hAnsi="ＭＳ 明朝" w:hint="eastAsia"/>
          <w:szCs w:val="21"/>
          <w:lang w:bidi="th-TH"/>
        </w:rPr>
        <w:t>ATIV</w:t>
      </w:r>
      <w:r w:rsidRPr="00E71D49">
        <w:rPr>
          <w:rFonts w:ascii="ＭＳ 明朝" w:eastAsia="ＭＳ 明朝" w:hAnsi="ＭＳ 明朝"/>
          <w:szCs w:val="21"/>
          <w:lang w:bidi="th-TH"/>
        </w:rPr>
        <w:t>（エーティブ）</w:t>
      </w:r>
      <w:r>
        <w:rPr>
          <w:rFonts w:ascii="ＭＳ 明朝" w:eastAsia="ＭＳ 明朝" w:hAnsi="ＭＳ 明朝" w:hint="eastAsia"/>
          <w:szCs w:val="21"/>
          <w:lang w:bidi="th-TH"/>
        </w:rPr>
        <w:t>HEV</w:t>
      </w:r>
      <w:r w:rsidRPr="00E71D49">
        <w:rPr>
          <w:rFonts w:ascii="ＭＳ 明朝" w:eastAsia="ＭＳ 明朝" w:hAnsi="ＭＳ 明朝"/>
          <w:szCs w:val="21"/>
          <w:lang w:bidi="th-TH"/>
        </w:rPr>
        <w:t>」</w:t>
      </w:r>
      <w:r>
        <w:rPr>
          <w:rFonts w:ascii="ＭＳ 明朝" w:eastAsia="ＭＳ 明朝" w:hAnsi="ＭＳ 明朝" w:hint="eastAsia"/>
          <w:szCs w:val="21"/>
          <w:lang w:bidi="th-TH"/>
        </w:rPr>
        <w:t>の発売を発表し、EV</w:t>
      </w:r>
      <w:r w:rsidRPr="000F3BB7">
        <w:rPr>
          <w:rFonts w:ascii="ＭＳ 明朝" w:eastAsia="ＭＳ 明朝" w:hAnsi="ＭＳ 明朝"/>
          <w:szCs w:val="21"/>
          <w:lang w:bidi="th-TH"/>
        </w:rPr>
        <w:t>と</w:t>
      </w:r>
      <w:r>
        <w:rPr>
          <w:rFonts w:ascii="ＭＳ 明朝" w:eastAsia="ＭＳ 明朝" w:hAnsi="ＭＳ 明朝" w:hint="eastAsia"/>
          <w:szCs w:val="21"/>
          <w:lang w:bidi="th-TH"/>
        </w:rPr>
        <w:t>HV</w:t>
      </w:r>
      <w:r w:rsidRPr="000F3BB7">
        <w:rPr>
          <w:rFonts w:ascii="ＭＳ 明朝" w:eastAsia="ＭＳ 明朝" w:hAnsi="ＭＳ 明朝"/>
          <w:szCs w:val="21"/>
          <w:lang w:bidi="th-TH"/>
        </w:rPr>
        <w:t>双方からタイ市場に攻勢を強める</w:t>
      </w:r>
    </w:p>
    <w:p w14:paraId="0CB0BB58"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w:t>
      </w:r>
      <w:r w:rsidRPr="000F3BB7">
        <w:rPr>
          <w:rFonts w:ascii="ＭＳ 明朝" w:eastAsia="ＭＳ 明朝" w:hAnsi="ＭＳ 明朝"/>
          <w:szCs w:val="21"/>
          <w:lang w:bidi="th-TH"/>
        </w:rPr>
        <w:t>いすゞ</w:t>
      </w:r>
      <w:r>
        <w:rPr>
          <w:rFonts w:ascii="ＭＳ 明朝" w:eastAsia="ＭＳ 明朝" w:hAnsi="ＭＳ 明朝" w:hint="eastAsia"/>
          <w:szCs w:val="21"/>
          <w:lang w:bidi="th-TH"/>
        </w:rPr>
        <w:t>…主力のピックアップトラックの</w:t>
      </w:r>
      <w:r w:rsidRPr="00575203">
        <w:rPr>
          <w:rFonts w:ascii="ＭＳ 明朝" w:eastAsia="ＭＳ 明朝" w:hAnsi="ＭＳ 明朝"/>
          <w:szCs w:val="21"/>
          <w:lang w:bidi="th-TH"/>
        </w:rPr>
        <w:t>バッテリー式電気自動車（</w:t>
      </w:r>
      <w:r>
        <w:rPr>
          <w:rFonts w:ascii="ＭＳ 明朝" w:eastAsia="ＭＳ 明朝" w:hAnsi="ＭＳ 明朝" w:hint="eastAsia"/>
          <w:szCs w:val="21"/>
          <w:lang w:bidi="th-TH"/>
        </w:rPr>
        <w:t>BEV</w:t>
      </w:r>
      <w:r w:rsidRPr="00575203">
        <w:rPr>
          <w:rFonts w:ascii="ＭＳ 明朝" w:eastAsia="ＭＳ 明朝" w:hAnsi="ＭＳ 明朝"/>
          <w:szCs w:val="21"/>
          <w:lang w:bidi="th-TH"/>
        </w:rPr>
        <w:t>）モデル「</w:t>
      </w:r>
      <w:r>
        <w:rPr>
          <w:rFonts w:ascii="ＭＳ 明朝" w:eastAsia="ＭＳ 明朝" w:hAnsi="ＭＳ 明朝" w:hint="eastAsia"/>
          <w:szCs w:val="21"/>
          <w:lang w:bidi="th-TH"/>
        </w:rPr>
        <w:t>D-MAX EV</w:t>
      </w:r>
      <w:r w:rsidRPr="00575203">
        <w:rPr>
          <w:rFonts w:ascii="ＭＳ 明朝" w:eastAsia="ＭＳ 明朝" w:hAnsi="ＭＳ 明朝"/>
          <w:szCs w:val="21"/>
          <w:lang w:bidi="th-TH"/>
        </w:rPr>
        <w:t>」の生産を開始</w:t>
      </w:r>
      <w:r>
        <w:rPr>
          <w:rFonts w:ascii="ＭＳ 明朝" w:eastAsia="ＭＳ 明朝" w:hAnsi="ＭＳ 明朝" w:hint="eastAsia"/>
          <w:szCs w:val="21"/>
          <w:lang w:bidi="th-TH"/>
        </w:rPr>
        <w:t>し、</w:t>
      </w:r>
      <w:r w:rsidRPr="00575203">
        <w:rPr>
          <w:rFonts w:ascii="ＭＳ 明朝" w:eastAsia="ＭＳ 明朝" w:hAnsi="ＭＳ 明朝"/>
          <w:szCs w:val="21"/>
          <w:lang w:bidi="th-TH"/>
        </w:rPr>
        <w:t>欧州主要国向け</w:t>
      </w:r>
      <w:r>
        <w:rPr>
          <w:rFonts w:ascii="ＭＳ 明朝" w:eastAsia="ＭＳ 明朝" w:hAnsi="ＭＳ 明朝" w:hint="eastAsia"/>
          <w:szCs w:val="21"/>
          <w:lang w:bidi="th-TH"/>
        </w:rPr>
        <w:t>に輸出を開始</w:t>
      </w:r>
    </w:p>
    <w:p w14:paraId="730FE7A5"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w:t>
      </w:r>
      <w:r>
        <w:rPr>
          <w:rFonts w:ascii="ＭＳ 明朝" w:eastAsia="ＭＳ 明朝" w:hAnsi="ＭＳ 明朝" w:hint="eastAsia"/>
          <w:szCs w:val="21"/>
          <w:lang w:bidi="th-TH"/>
        </w:rPr>
        <w:t>ホンダ…独自のハイブリッドシステム「</w:t>
      </w:r>
      <w:r w:rsidRPr="00575203">
        <w:rPr>
          <w:rFonts w:ascii="ＭＳ 明朝" w:eastAsia="ＭＳ 明朝" w:hAnsi="ＭＳ 明朝"/>
          <w:szCs w:val="21"/>
          <w:lang w:bidi="th-TH"/>
        </w:rPr>
        <w:t>e:HEV</w:t>
      </w:r>
      <w:r>
        <w:rPr>
          <w:rFonts w:ascii="ＭＳ 明朝" w:eastAsia="ＭＳ 明朝" w:hAnsi="ＭＳ 明朝" w:hint="eastAsia"/>
          <w:szCs w:val="21"/>
          <w:lang w:bidi="th-TH"/>
        </w:rPr>
        <w:t>」を搭載した</w:t>
      </w:r>
      <w:r w:rsidRPr="00575203">
        <w:rPr>
          <w:rFonts w:ascii="ＭＳ 明朝" w:eastAsia="ＭＳ 明朝" w:hAnsi="ＭＳ 明朝"/>
          <w:szCs w:val="21"/>
          <w:lang w:bidi="th-TH"/>
        </w:rPr>
        <w:t>新型アコード</w:t>
      </w:r>
      <w:r>
        <w:rPr>
          <w:rFonts w:ascii="ＭＳ 明朝" w:eastAsia="ＭＳ 明朝" w:hAnsi="ＭＳ 明朝" w:hint="eastAsia"/>
          <w:szCs w:val="21"/>
          <w:lang w:bidi="th-TH"/>
        </w:rPr>
        <w:t>を発表</w:t>
      </w:r>
    </w:p>
    <w:p w14:paraId="4436AC7D"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・マツダ…</w:t>
      </w:r>
      <w:r w:rsidRPr="00E855CF">
        <w:rPr>
          <w:rFonts w:ascii="ＭＳ 明朝" w:eastAsia="ＭＳ 明朝" w:hAnsi="ＭＳ 明朝"/>
          <w:szCs w:val="21"/>
          <w:lang w:bidi="th-TH"/>
        </w:rPr>
        <w:t>50億バーツ</w:t>
      </w:r>
      <w:r>
        <w:rPr>
          <w:rFonts w:ascii="ＭＳ 明朝" w:eastAsia="ＭＳ 明朝" w:hAnsi="ＭＳ 明朝" w:hint="eastAsia"/>
          <w:szCs w:val="21"/>
          <w:lang w:bidi="th-TH"/>
        </w:rPr>
        <w:t>（≒230億円）を投じ、2027年までにEV</w:t>
      </w:r>
      <w:r w:rsidRPr="00E855CF">
        <w:rPr>
          <w:rFonts w:ascii="ＭＳ 明朝" w:eastAsia="ＭＳ 明朝" w:hAnsi="ＭＳ 明朝"/>
          <w:szCs w:val="21"/>
          <w:lang w:bidi="th-TH"/>
        </w:rPr>
        <w:t>やハイブリッド車の５車種を導入する計画</w:t>
      </w:r>
      <w:r>
        <w:rPr>
          <w:rFonts w:ascii="ＭＳ 明朝" w:eastAsia="ＭＳ 明朝" w:hAnsi="ＭＳ 明朝" w:hint="eastAsia"/>
          <w:szCs w:val="21"/>
          <w:lang w:bidi="th-TH"/>
        </w:rPr>
        <w:t>を発表</w:t>
      </w:r>
    </w:p>
    <w:p w14:paraId="00840185"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w:t>
      </w:r>
    </w:p>
    <w:p w14:paraId="0961D2BD" w14:textId="77777777" w:rsidR="000A0534" w:rsidRDefault="000A0534" w:rsidP="000A0534">
      <w:pPr>
        <w:rPr>
          <w:rFonts w:ascii="ＭＳ 明朝" w:eastAsia="ＭＳ 明朝" w:hAnsi="ＭＳ 明朝"/>
          <w:szCs w:val="21"/>
          <w:lang w:bidi="th-TH"/>
        </w:rPr>
      </w:pPr>
      <w:r w:rsidRPr="00C643C8">
        <w:rPr>
          <w:rFonts w:ascii="ＭＳ 明朝" w:eastAsia="ＭＳ 明朝" w:hAnsi="ＭＳ 明朝"/>
          <w:szCs w:val="21"/>
          <w:lang w:bidi="th-TH"/>
        </w:rPr>
        <w:t>④ 今後の見通し</w:t>
      </w:r>
    </w:p>
    <w:p w14:paraId="08DE44AD"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タイ中央銀行が8月に発表した「タイ経済報告書」によると、2025年のタイの国内総生産（GDP）は通年で2.</w:t>
      </w:r>
      <w:r>
        <w:rPr>
          <w:rFonts w:ascii="ＭＳ 明朝" w:eastAsia="ＭＳ 明朝" w:hAnsi="ＭＳ 明朝"/>
          <w:szCs w:val="21"/>
          <w:lang w:bidi="th-TH"/>
        </w:rPr>
        <w:t>5</w:t>
      </w:r>
      <w:r>
        <w:rPr>
          <w:rFonts w:ascii="ＭＳ 明朝" w:eastAsia="ＭＳ 明朝" w:hAnsi="ＭＳ 明朝" w:hint="eastAsia"/>
          <w:szCs w:val="21"/>
          <w:lang w:bidi="th-TH"/>
        </w:rPr>
        <w:t>%前後の成長率と予測しています。これは2024年の成長率とほぼ横ばいで、過去平均を下回る「低成長ゾーン」にありますが、主な要因としてはバーツ高による輸出の鈍化、民間消費の停滞、観光業の回復の遅れが挙げられています。特に輸出の不振は、</w:t>
      </w:r>
      <w:r w:rsidRPr="00E00B67">
        <w:rPr>
          <w:rFonts w:ascii="ＭＳ 明朝" w:eastAsia="ＭＳ 明朝" w:hAnsi="ＭＳ 明朝"/>
          <w:szCs w:val="21"/>
          <w:lang w:bidi="th-TH"/>
        </w:rPr>
        <w:t>輸出額が国内総生産（GDP）の半分以上を占めるタイ経済にとって、回復を鈍らせる大きな要因となっています</w:t>
      </w:r>
      <w:r>
        <w:rPr>
          <w:rFonts w:ascii="ＭＳ 明朝" w:eastAsia="ＭＳ 明朝" w:hAnsi="ＭＳ 明朝" w:hint="eastAsia"/>
          <w:szCs w:val="21"/>
          <w:lang w:bidi="th-TH"/>
        </w:rPr>
        <w:t>。</w:t>
      </w:r>
    </w:p>
    <w:p w14:paraId="51FD542C"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米国はタイの最大の輸出相手国ですが、トランプ関税の影響も懸念されています。現時点では</w:t>
      </w:r>
      <w:r w:rsidRPr="00021158">
        <w:rPr>
          <w:rFonts w:ascii="ＭＳ 明朝" w:eastAsia="ＭＳ 明朝" w:hAnsi="ＭＳ 明朝"/>
          <w:szCs w:val="21"/>
          <w:lang w:bidi="th-TH"/>
        </w:rPr>
        <w:t>関税率は19％</w:t>
      </w:r>
      <w:r>
        <w:rPr>
          <w:rFonts w:ascii="ＭＳ 明朝" w:eastAsia="ＭＳ 明朝" w:hAnsi="ＭＳ 明朝" w:hint="eastAsia"/>
          <w:szCs w:val="21"/>
          <w:lang w:bidi="th-TH"/>
        </w:rPr>
        <w:t>となっていますが、タイは米国から「</w:t>
      </w:r>
      <w:r w:rsidRPr="00021158">
        <w:rPr>
          <w:rFonts w:ascii="ＭＳ 明朝" w:eastAsia="ＭＳ 明朝" w:hAnsi="ＭＳ 明朝"/>
          <w:szCs w:val="21"/>
          <w:lang w:bidi="th-TH"/>
        </w:rPr>
        <w:t>対米貿易黒字国かつ非関税障壁が多い国</w:t>
      </w:r>
      <w:r>
        <w:rPr>
          <w:rFonts w:ascii="ＭＳ 明朝" w:eastAsia="ＭＳ 明朝" w:hAnsi="ＭＳ 明朝" w:hint="eastAsia"/>
          <w:szCs w:val="21"/>
          <w:lang w:bidi="th-TH"/>
        </w:rPr>
        <w:t>」の一つとみなされており、今後の</w:t>
      </w:r>
      <w:r w:rsidRPr="00021158">
        <w:rPr>
          <w:rFonts w:ascii="ＭＳ 明朝" w:eastAsia="ＭＳ 明朝" w:hAnsi="ＭＳ 明朝"/>
          <w:szCs w:val="21"/>
          <w:lang w:bidi="th-TH"/>
        </w:rPr>
        <w:t>通商交渉</w:t>
      </w:r>
      <w:r>
        <w:rPr>
          <w:rFonts w:ascii="ＭＳ 明朝" w:eastAsia="ＭＳ 明朝" w:hAnsi="ＭＳ 明朝" w:hint="eastAsia"/>
          <w:szCs w:val="21"/>
          <w:lang w:bidi="th-TH"/>
        </w:rPr>
        <w:t>の行方によっては最大36％の</w:t>
      </w:r>
      <w:r w:rsidRPr="00021158">
        <w:rPr>
          <w:rFonts w:ascii="ＭＳ 明朝" w:eastAsia="ＭＳ 明朝" w:hAnsi="ＭＳ 明朝"/>
          <w:szCs w:val="21"/>
          <w:lang w:bidi="th-TH"/>
        </w:rPr>
        <w:t>関税が課される可能性</w:t>
      </w:r>
      <w:r>
        <w:rPr>
          <w:rFonts w:ascii="ＭＳ 明朝" w:eastAsia="ＭＳ 明朝" w:hAnsi="ＭＳ 明朝" w:hint="eastAsia"/>
          <w:szCs w:val="21"/>
          <w:lang w:bidi="th-TH"/>
        </w:rPr>
        <w:t xml:space="preserve">があります。サイアム商業銀行傘下のシンクタンク「SCB </w:t>
      </w:r>
      <w:r w:rsidRPr="005A5E00">
        <w:rPr>
          <w:rFonts w:ascii="ＭＳ 明朝" w:eastAsia="ＭＳ 明朝" w:hAnsi="ＭＳ 明朝"/>
          <w:szCs w:val="21"/>
          <w:lang w:bidi="th-TH"/>
        </w:rPr>
        <w:t>Economic Intelligence Center</w:t>
      </w:r>
      <w:r>
        <w:rPr>
          <w:rFonts w:ascii="ＭＳ 明朝" w:eastAsia="ＭＳ 明朝" w:hAnsi="ＭＳ 明朝" w:hint="eastAsia"/>
          <w:szCs w:val="21"/>
          <w:lang w:bidi="th-TH"/>
        </w:rPr>
        <w:t>」によると、米国の関税が36％に引きが下られた場合、</w:t>
      </w:r>
      <w:r w:rsidRPr="005A5E00">
        <w:rPr>
          <w:rFonts w:ascii="ＭＳ 明朝" w:eastAsia="ＭＳ 明朝" w:hAnsi="ＭＳ 明朝"/>
          <w:szCs w:val="21"/>
          <w:lang w:bidi="th-TH"/>
        </w:rPr>
        <w:t>タイ</w:t>
      </w:r>
      <w:r>
        <w:rPr>
          <w:rFonts w:ascii="ＭＳ 明朝" w:eastAsia="ＭＳ 明朝" w:hAnsi="ＭＳ 明朝" w:hint="eastAsia"/>
          <w:szCs w:val="21"/>
          <w:lang w:bidi="th-TH"/>
        </w:rPr>
        <w:t>経済</w:t>
      </w:r>
      <w:r w:rsidRPr="005A5E00">
        <w:rPr>
          <w:rFonts w:ascii="ＭＳ 明朝" w:eastAsia="ＭＳ 明朝" w:hAnsi="ＭＳ 明朝"/>
          <w:szCs w:val="21"/>
          <w:lang w:bidi="th-TH"/>
        </w:rPr>
        <w:t>に深刻な打撃となる可能性があると警告しています。輸出の減少だけでなく、グローバ</w:t>
      </w:r>
      <w:r w:rsidRPr="005A5E00">
        <w:rPr>
          <w:rFonts w:ascii="ＭＳ 明朝" w:eastAsia="ＭＳ 明朝" w:hAnsi="ＭＳ 明朝"/>
          <w:szCs w:val="21"/>
          <w:lang w:bidi="th-TH"/>
        </w:rPr>
        <w:lastRenderedPageBreak/>
        <w:t>ルなサプライチェーンの縮小や中国経済の減速による間接的な影響も懸念されて</w:t>
      </w:r>
      <w:r>
        <w:rPr>
          <w:rFonts w:ascii="ＭＳ 明朝" w:eastAsia="ＭＳ 明朝" w:hAnsi="ＭＳ 明朝" w:hint="eastAsia"/>
          <w:szCs w:val="21"/>
          <w:lang w:bidi="th-TH"/>
        </w:rPr>
        <w:t>おり、</w:t>
      </w:r>
      <w:r w:rsidRPr="005A5E00">
        <w:rPr>
          <w:rFonts w:ascii="ＭＳ 明朝" w:eastAsia="ＭＳ 明朝" w:hAnsi="ＭＳ 明朝"/>
          <w:szCs w:val="21"/>
          <w:lang w:bidi="th-TH"/>
        </w:rPr>
        <w:t>特に米国がアジア諸国に対して平均21％の関税を課している中で、輸出競争力の低下が避けられないとしています。</w:t>
      </w:r>
    </w:p>
    <w:p w14:paraId="7E930614"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 xml:space="preserve">　10月26日に</w:t>
      </w:r>
      <w:r w:rsidRPr="00EE6F74">
        <w:rPr>
          <w:rFonts w:ascii="ＭＳ 明朝" w:eastAsia="ＭＳ 明朝" w:hAnsi="ＭＳ 明朝"/>
          <w:szCs w:val="21"/>
          <w:lang w:bidi="th-TH"/>
        </w:rPr>
        <w:t>米国とタイは通商枠組み合意（Framework for an Agreement）に至り</w:t>
      </w:r>
      <w:r>
        <w:rPr>
          <w:rFonts w:ascii="ＭＳ 明朝" w:eastAsia="ＭＳ 明朝" w:hAnsi="ＭＳ 明朝" w:hint="eastAsia"/>
          <w:szCs w:val="21"/>
          <w:lang w:bidi="th-TH"/>
        </w:rPr>
        <w:t>、引き続き</w:t>
      </w:r>
      <w:r w:rsidRPr="00EE6F74">
        <w:rPr>
          <w:rFonts w:ascii="ＭＳ 明朝" w:eastAsia="ＭＳ 明朝" w:hAnsi="ＭＳ 明朝"/>
          <w:szCs w:val="21"/>
          <w:lang w:bidi="th-TH"/>
        </w:rPr>
        <w:t>タイ原産品に対する相互関税率は19％で維持されることが決定しました</w:t>
      </w:r>
      <w:r>
        <w:rPr>
          <w:rFonts w:ascii="ＭＳ 明朝" w:eastAsia="ＭＳ 明朝" w:hAnsi="ＭＳ 明朝" w:hint="eastAsia"/>
          <w:szCs w:val="21"/>
          <w:lang w:bidi="th-TH"/>
        </w:rPr>
        <w:t>が、これは</w:t>
      </w:r>
      <w:r w:rsidRPr="00EE6F74">
        <w:rPr>
          <w:rFonts w:ascii="ＭＳ 明朝" w:eastAsia="ＭＳ 明朝" w:hAnsi="ＭＳ 明朝"/>
          <w:szCs w:val="21"/>
          <w:lang w:bidi="th-TH"/>
        </w:rPr>
        <w:t>通商協定</w:t>
      </w:r>
      <w:r>
        <w:rPr>
          <w:rFonts w:ascii="ＭＳ 明朝" w:eastAsia="ＭＳ 明朝" w:hAnsi="ＭＳ 明朝" w:hint="eastAsia"/>
          <w:szCs w:val="21"/>
          <w:lang w:bidi="th-TH"/>
        </w:rPr>
        <w:t>の</w:t>
      </w:r>
      <w:r w:rsidRPr="00EE6F74">
        <w:rPr>
          <w:rFonts w:ascii="ＭＳ 明朝" w:eastAsia="ＭＳ 明朝" w:hAnsi="ＭＳ 明朝"/>
          <w:szCs w:val="21"/>
          <w:lang w:bidi="th-TH"/>
        </w:rPr>
        <w:t>合意（Agreement）</w:t>
      </w:r>
      <w:r>
        <w:rPr>
          <w:rFonts w:ascii="ＭＳ 明朝" w:eastAsia="ＭＳ 明朝" w:hAnsi="ＭＳ 明朝" w:hint="eastAsia"/>
          <w:szCs w:val="21"/>
          <w:lang w:bidi="th-TH"/>
        </w:rPr>
        <w:t>ではなく、効力も限定的とみられています。</w:t>
      </w:r>
      <w:r w:rsidRPr="00EE6F74">
        <w:rPr>
          <w:rFonts w:ascii="ＭＳ 明朝" w:eastAsia="ＭＳ 明朝" w:hAnsi="ＭＳ 明朝"/>
          <w:szCs w:val="21"/>
          <w:lang w:bidi="th-TH"/>
        </w:rPr>
        <w:t>タイのスパジー商務相は</w:t>
      </w:r>
      <w:r>
        <w:rPr>
          <w:rFonts w:ascii="ＭＳ 明朝" w:eastAsia="ＭＳ 明朝" w:hAnsi="ＭＳ 明朝" w:hint="eastAsia"/>
          <w:szCs w:val="21"/>
          <w:lang w:bidi="th-TH"/>
        </w:rPr>
        <w:t>「</w:t>
      </w:r>
      <w:r w:rsidRPr="00EE6F74">
        <w:rPr>
          <w:rFonts w:ascii="ＭＳ 明朝" w:eastAsia="ＭＳ 明朝" w:hAnsi="ＭＳ 明朝"/>
          <w:szCs w:val="21"/>
          <w:lang w:bidi="th-TH"/>
        </w:rPr>
        <w:t>今回の枠組みは拘束力を持たず、年末までの最終合意を目指して協議を続ける</w:t>
      </w:r>
      <w:r>
        <w:rPr>
          <w:rFonts w:ascii="ＭＳ 明朝" w:eastAsia="ＭＳ 明朝" w:hAnsi="ＭＳ 明朝" w:hint="eastAsia"/>
          <w:szCs w:val="21"/>
          <w:lang w:bidi="th-TH"/>
        </w:rPr>
        <w:t>」</w:t>
      </w:r>
      <w:r w:rsidRPr="00EE6F74">
        <w:rPr>
          <w:rFonts w:ascii="ＭＳ 明朝" w:eastAsia="ＭＳ 明朝" w:hAnsi="ＭＳ 明朝"/>
          <w:szCs w:val="21"/>
          <w:lang w:bidi="th-TH"/>
        </w:rPr>
        <w:t>と</w:t>
      </w:r>
      <w:r>
        <w:rPr>
          <w:rFonts w:ascii="ＭＳ 明朝" w:eastAsia="ＭＳ 明朝" w:hAnsi="ＭＳ 明朝" w:hint="eastAsia"/>
          <w:szCs w:val="21"/>
          <w:lang w:bidi="th-TH"/>
        </w:rPr>
        <w:t>声明を発表、今後も継続協議となることを</w:t>
      </w:r>
      <w:r w:rsidRPr="00EE6F74">
        <w:rPr>
          <w:rFonts w:ascii="ＭＳ 明朝" w:eastAsia="ＭＳ 明朝" w:hAnsi="ＭＳ 明朝"/>
          <w:szCs w:val="21"/>
          <w:lang w:bidi="th-TH"/>
        </w:rPr>
        <w:t>明らかにし</w:t>
      </w:r>
      <w:r>
        <w:rPr>
          <w:rFonts w:ascii="ＭＳ 明朝" w:eastAsia="ＭＳ 明朝" w:hAnsi="ＭＳ 明朝" w:hint="eastAsia"/>
          <w:szCs w:val="21"/>
          <w:lang w:bidi="th-TH"/>
        </w:rPr>
        <w:t>ました</w:t>
      </w:r>
      <w:r w:rsidRPr="00EE6F74">
        <w:rPr>
          <w:rFonts w:ascii="ＭＳ 明朝" w:eastAsia="ＭＳ 明朝" w:hAnsi="ＭＳ 明朝"/>
          <w:szCs w:val="21"/>
          <w:lang w:bidi="th-TH"/>
        </w:rPr>
        <w:t>。</w:t>
      </w:r>
      <w:r>
        <w:rPr>
          <w:rFonts w:ascii="ＭＳ 明朝" w:eastAsia="ＭＳ 明朝" w:hAnsi="ＭＳ 明朝" w:hint="eastAsia"/>
          <w:szCs w:val="21"/>
          <w:lang w:bidi="th-TH"/>
        </w:rPr>
        <w:t>タイの3つの民間経済団体（</w:t>
      </w:r>
      <w:r w:rsidRPr="00715506">
        <w:rPr>
          <w:rFonts w:ascii="ＭＳ 明朝" w:eastAsia="ＭＳ 明朝" w:hAnsi="ＭＳ 明朝"/>
          <w:szCs w:val="21"/>
          <w:lang w:bidi="th-TH"/>
        </w:rPr>
        <w:t>タイ商工会議所</w:t>
      </w:r>
      <w:r>
        <w:rPr>
          <w:rFonts w:ascii="ＭＳ 明朝" w:eastAsia="ＭＳ 明朝" w:hAnsi="ＭＳ 明朝" w:hint="eastAsia"/>
          <w:szCs w:val="21"/>
          <w:lang w:bidi="th-TH"/>
        </w:rPr>
        <w:t>・</w:t>
      </w:r>
      <w:r w:rsidRPr="00715506">
        <w:rPr>
          <w:rFonts w:ascii="ＭＳ 明朝" w:eastAsia="ＭＳ 明朝" w:hAnsi="ＭＳ 明朝"/>
          <w:szCs w:val="21"/>
          <w:lang w:bidi="th-TH"/>
        </w:rPr>
        <w:t>タイ産業連盟</w:t>
      </w:r>
      <w:r>
        <w:rPr>
          <w:rFonts w:ascii="ＭＳ 明朝" w:eastAsia="ＭＳ 明朝" w:hAnsi="ＭＳ 明朝" w:hint="eastAsia"/>
          <w:szCs w:val="21"/>
          <w:lang w:bidi="th-TH"/>
        </w:rPr>
        <w:t>・</w:t>
      </w:r>
      <w:r w:rsidRPr="00715506">
        <w:rPr>
          <w:rFonts w:ascii="ＭＳ 明朝" w:eastAsia="ＭＳ 明朝" w:hAnsi="ＭＳ 明朝"/>
          <w:szCs w:val="21"/>
          <w:lang w:bidi="th-TH"/>
        </w:rPr>
        <w:t>タイ銀行協会</w:t>
      </w:r>
      <w:r>
        <w:rPr>
          <w:rFonts w:ascii="ＭＳ 明朝" w:eastAsia="ＭＳ 明朝" w:hAnsi="ＭＳ 明朝" w:hint="eastAsia"/>
          <w:szCs w:val="21"/>
          <w:lang w:bidi="th-TH"/>
        </w:rPr>
        <w:t>）による「</w:t>
      </w:r>
      <w:r w:rsidRPr="00715506">
        <w:rPr>
          <w:rFonts w:ascii="ＭＳ 明朝" w:eastAsia="ＭＳ 明朝" w:hAnsi="ＭＳ 明朝"/>
          <w:szCs w:val="21"/>
          <w:lang w:bidi="th-TH"/>
        </w:rPr>
        <w:t>タイ民間3機関</w:t>
      </w:r>
      <w:r>
        <w:rPr>
          <w:rFonts w:ascii="ＭＳ 明朝" w:eastAsia="ＭＳ 明朝" w:hAnsi="ＭＳ 明朝" w:hint="eastAsia"/>
          <w:szCs w:val="21"/>
          <w:lang w:bidi="th-TH"/>
        </w:rPr>
        <w:t>会議」の報告では、米国の</w:t>
      </w:r>
      <w:r w:rsidRPr="00715506">
        <w:rPr>
          <w:rFonts w:ascii="ＭＳ 明朝" w:eastAsia="ＭＳ 明朝" w:hAnsi="ＭＳ 明朝"/>
          <w:szCs w:val="21"/>
          <w:lang w:bidi="th-TH"/>
        </w:rPr>
        <w:t>関税が最大36％に達した場合、GDP成長率は0.7</w:t>
      </w:r>
      <w:r w:rsidRPr="00715506">
        <w:rPr>
          <w:rFonts w:ascii="ＭＳ 明朝" w:eastAsia="ＭＳ 明朝" w:hAnsi="ＭＳ 明朝" w:hint="eastAsia"/>
          <w:szCs w:val="21"/>
          <w:lang w:bidi="th-TH"/>
        </w:rPr>
        <w:t>〜</w:t>
      </w:r>
      <w:r w:rsidRPr="00715506">
        <w:rPr>
          <w:rFonts w:ascii="ＭＳ 明朝" w:eastAsia="ＭＳ 明朝" w:hAnsi="ＭＳ 明朝"/>
          <w:szCs w:val="21"/>
          <w:lang w:bidi="th-TH"/>
        </w:rPr>
        <w:t>1.4％まで低下し、輸出はマイナス2％に落ち込む可能性があるとしています。</w:t>
      </w:r>
      <w:r>
        <w:rPr>
          <w:rFonts w:ascii="ＭＳ 明朝" w:eastAsia="ＭＳ 明朝" w:hAnsi="ＭＳ 明朝" w:hint="eastAsia"/>
          <w:szCs w:val="21"/>
          <w:lang w:bidi="th-TH"/>
        </w:rPr>
        <w:t>トランプ関税の</w:t>
      </w:r>
      <w:r w:rsidRPr="001B000A">
        <w:rPr>
          <w:rFonts w:ascii="ＭＳ 明朝" w:eastAsia="ＭＳ 明朝" w:hAnsi="ＭＳ 明朝"/>
          <w:szCs w:val="21"/>
          <w:lang w:bidi="th-TH"/>
        </w:rPr>
        <w:t>今後のタイへの影響は「安定化しつつも予断を許さない状況」であり、通商交渉の進展と米国の政権運営次第で再び変動する可能性があります。今後の通商交渉の行方が、輸出産業の命運を左右する重要な要素と</w:t>
      </w:r>
      <w:r>
        <w:rPr>
          <w:rFonts w:ascii="ＭＳ 明朝" w:eastAsia="ＭＳ 明朝" w:hAnsi="ＭＳ 明朝" w:hint="eastAsia"/>
          <w:szCs w:val="21"/>
          <w:lang w:bidi="th-TH"/>
        </w:rPr>
        <w:t>みられています。</w:t>
      </w:r>
    </w:p>
    <w:p w14:paraId="695D3542" w14:textId="77777777" w:rsidR="000A0534" w:rsidRDefault="000A0534" w:rsidP="000A0534">
      <w:pPr>
        <w:widowControl/>
        <w:jc w:val="left"/>
        <w:rPr>
          <w:rFonts w:ascii="ＭＳ 明朝" w:eastAsia="ＭＳ 明朝" w:hAnsi="ＭＳ 明朝"/>
          <w:szCs w:val="21"/>
          <w:lang w:bidi="th-TH"/>
        </w:rPr>
      </w:pPr>
    </w:p>
    <w:p w14:paraId="37D118E4" w14:textId="77777777" w:rsidR="000A0534" w:rsidRDefault="000A0534" w:rsidP="000A0534">
      <w:pPr>
        <w:widowControl/>
        <w:jc w:val="left"/>
        <w:rPr>
          <w:rFonts w:ascii="ＭＳ 明朝" w:eastAsia="ＭＳ 明朝" w:hAnsi="ＭＳ 明朝"/>
          <w:szCs w:val="21"/>
          <w:lang w:bidi="th-TH"/>
        </w:rPr>
      </w:pPr>
    </w:p>
    <w:p w14:paraId="6BB4BC97" w14:textId="77777777" w:rsidR="000A0534" w:rsidRDefault="000A0534" w:rsidP="000A0534">
      <w:pPr>
        <w:widowControl/>
        <w:jc w:val="left"/>
        <w:rPr>
          <w:rFonts w:ascii="ＭＳ 明朝" w:eastAsia="ＭＳ 明朝" w:hAnsi="ＭＳ 明朝"/>
          <w:szCs w:val="21"/>
          <w:lang w:bidi="th-TH"/>
        </w:rPr>
      </w:pPr>
    </w:p>
    <w:p w14:paraId="0FB3DDED"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参考文献</w:t>
      </w:r>
      <w:r>
        <w:rPr>
          <w:rFonts w:ascii="ＭＳ 明朝" w:eastAsia="ＭＳ 明朝" w:hAnsi="ＭＳ 明朝" w:hint="eastAsia"/>
          <w:szCs w:val="21"/>
          <w:lang w:bidi="th-TH"/>
        </w:rPr>
        <w:t>：</w:t>
      </w:r>
    </w:p>
    <w:p w14:paraId="02558453"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JETRO</w:t>
      </w:r>
      <w:r>
        <w:rPr>
          <w:rFonts w:ascii="ＭＳ 明朝" w:eastAsia="ＭＳ 明朝" w:hAnsi="ＭＳ 明朝"/>
          <w:szCs w:val="21"/>
          <w:lang w:bidi="th-TH"/>
        </w:rPr>
        <w:t xml:space="preserve"> </w:t>
      </w:r>
      <w:r>
        <w:rPr>
          <w:rFonts w:ascii="ＭＳ 明朝" w:eastAsia="ＭＳ 明朝" w:hAnsi="ＭＳ 明朝" w:hint="eastAsia"/>
          <w:szCs w:val="21"/>
          <w:lang w:bidi="th-TH"/>
        </w:rPr>
        <w:t>ビジネス短信</w:t>
      </w:r>
    </w:p>
    <w:p w14:paraId="25C2129C" w14:textId="77777777" w:rsidR="000A0534" w:rsidRDefault="000A0534" w:rsidP="000A0534">
      <w:pPr>
        <w:rPr>
          <w:rFonts w:ascii="Cordia New" w:eastAsia="ＭＳ 明朝" w:hAnsi="Cordia New" w:cs="Cordia New"/>
          <w:sz w:val="32"/>
          <w:szCs w:val="32"/>
          <w:lang w:bidi="th-TH"/>
        </w:rPr>
      </w:pPr>
      <w:hyperlink w:history="1">
        <w:r w:rsidRPr="009204C6">
          <w:rPr>
            <w:rStyle w:val="aa"/>
          </w:rPr>
          <w:t>https://www.jetro.go.jp/biznews/2023/12/013561a19d3cacc8.html</w:t>
        </w:r>
      </w:hyperlink>
    </w:p>
    <w:p w14:paraId="2150B5D4" w14:textId="77777777" w:rsidR="000A0534" w:rsidRDefault="000A0534" w:rsidP="000A0534">
      <w:pPr>
        <w:rPr>
          <w:rFonts w:ascii="ＭＳ 明朝" w:eastAsia="ＭＳ 明朝" w:hAnsi="ＭＳ 明朝"/>
          <w:szCs w:val="21"/>
          <w:lang w:eastAsia="zh-TW" w:bidi="th-TH"/>
        </w:rPr>
      </w:pPr>
      <w:r w:rsidRPr="00782E03">
        <w:rPr>
          <w:rFonts w:ascii="ＭＳ 明朝" w:eastAsia="ＭＳ 明朝" w:hAnsi="ＭＳ 明朝"/>
          <w:szCs w:val="21"/>
          <w:lang w:eastAsia="zh-TW" w:bidi="th-TH"/>
        </w:rPr>
        <w:t>JCC 202</w:t>
      </w:r>
      <w:r>
        <w:rPr>
          <w:rFonts w:ascii="ＭＳ 明朝" w:eastAsia="ＭＳ 明朝" w:hAnsi="ＭＳ 明朝"/>
          <w:szCs w:val="21"/>
          <w:lang w:eastAsia="zh-TW" w:bidi="th-TH"/>
        </w:rPr>
        <w:t>5</w:t>
      </w:r>
      <w:r w:rsidRPr="00782E03">
        <w:rPr>
          <w:rFonts w:ascii="ＭＳ 明朝" w:eastAsia="ＭＳ 明朝" w:hAnsi="ＭＳ 明朝"/>
          <w:szCs w:val="21"/>
          <w:lang w:eastAsia="zh-TW" w:bidi="th-TH"/>
        </w:rPr>
        <w:t xml:space="preserve"> </w:t>
      </w:r>
      <w:r>
        <w:rPr>
          <w:rFonts w:ascii="ＭＳ 明朝" w:eastAsia="ＭＳ 明朝" w:hAnsi="ＭＳ 明朝"/>
          <w:szCs w:val="21"/>
          <w:lang w:eastAsia="zh-TW" w:bidi="th-TH"/>
        </w:rPr>
        <w:t>年</w:t>
      </w:r>
      <w:r>
        <w:rPr>
          <w:rFonts w:ascii="ＭＳ 明朝" w:eastAsia="ＭＳ 明朝" w:hAnsi="ＭＳ 明朝" w:hint="eastAsia"/>
          <w:szCs w:val="21"/>
          <w:lang w:eastAsia="zh-TW" w:bidi="th-TH"/>
        </w:rPr>
        <w:t>上</w:t>
      </w:r>
      <w:r w:rsidRPr="00782E03">
        <w:rPr>
          <w:rFonts w:ascii="ＭＳ 明朝" w:eastAsia="ＭＳ 明朝" w:hAnsi="ＭＳ 明朝"/>
          <w:szCs w:val="21"/>
          <w:lang w:eastAsia="zh-TW" w:bidi="th-TH"/>
        </w:rPr>
        <w:t>期 日系企業景気動向調査（概要）</w:t>
      </w:r>
    </w:p>
    <w:p w14:paraId="305C579D"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※会員</w:t>
      </w:r>
      <w:r>
        <w:rPr>
          <w:rFonts w:ascii="ＭＳ 明朝" w:eastAsia="ＭＳ 明朝" w:hAnsi="ＭＳ 明朝" w:hint="eastAsia"/>
          <w:szCs w:val="21"/>
          <w:lang w:bidi="th-TH"/>
        </w:rPr>
        <w:t>向け資料</w:t>
      </w:r>
    </w:p>
    <w:p w14:paraId="6199F474"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NNA</w:t>
      </w:r>
      <w:r>
        <w:rPr>
          <w:rFonts w:ascii="ＭＳ 明朝" w:eastAsia="ＭＳ 明朝" w:hAnsi="ＭＳ 明朝" w:hint="eastAsia"/>
          <w:szCs w:val="21"/>
          <w:lang w:bidi="th-TH"/>
        </w:rPr>
        <w:t xml:space="preserve">　</w:t>
      </w:r>
      <w:r w:rsidRPr="008522C0">
        <w:rPr>
          <w:rFonts w:ascii="ＭＳ 明朝" w:eastAsia="ＭＳ 明朝" w:hAnsi="ＭＳ 明朝"/>
          <w:szCs w:val="21"/>
          <w:lang w:bidi="th-TH"/>
        </w:rPr>
        <w:t>トヨタ、電動ＳＵＶを再販売</w:t>
      </w:r>
      <w:r>
        <w:rPr>
          <w:rFonts w:ascii="ＭＳ 明朝" w:eastAsia="ＭＳ 明朝" w:hAnsi="ＭＳ 明朝"/>
          <w:szCs w:val="21"/>
          <w:lang w:bidi="th-TH"/>
        </w:rPr>
        <w:t xml:space="preserve"> </w:t>
      </w:r>
      <w:r>
        <w:rPr>
          <w:rFonts w:ascii="ＭＳ 明朝" w:eastAsia="ＭＳ 明朝" w:hAnsi="ＭＳ 明朝" w:hint="eastAsia"/>
          <w:szCs w:val="21"/>
          <w:lang w:bidi="th-TH"/>
        </w:rPr>
        <w:t>※会員のみ閲覧可能</w:t>
      </w:r>
    </w:p>
    <w:p w14:paraId="6A43FED9"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https://www.nna.jp/news/2831196</w:t>
        </w:r>
      </w:hyperlink>
    </w:p>
    <w:p w14:paraId="4D94BC93" w14:textId="77777777" w:rsidR="000A0534" w:rsidRDefault="000A0534" w:rsidP="000A0534">
      <w:pPr>
        <w:rPr>
          <w:rFonts w:ascii="ＭＳ 明朝" w:eastAsia="ＭＳ 明朝" w:hAnsi="ＭＳ 明朝"/>
          <w:szCs w:val="21"/>
          <w:lang w:bidi="th-TH"/>
        </w:rPr>
      </w:pPr>
      <w:r w:rsidRPr="008522C0">
        <w:rPr>
          <w:rFonts w:ascii="ＭＳ 明朝" w:eastAsia="ＭＳ 明朝" w:hAnsi="ＭＳ 明朝"/>
          <w:szCs w:val="21"/>
          <w:lang w:bidi="th-TH"/>
        </w:rPr>
        <w:t>いすゞ</w:t>
      </w:r>
      <w:r>
        <w:rPr>
          <w:rFonts w:ascii="ＭＳ 明朝" w:eastAsia="ＭＳ 明朝" w:hAnsi="ＭＳ 明朝" w:hint="eastAsia"/>
          <w:szCs w:val="21"/>
          <w:lang w:bidi="th-TH"/>
        </w:rPr>
        <w:t>自動車</w:t>
      </w:r>
      <w:r w:rsidRPr="00D23620">
        <w:rPr>
          <w:rFonts w:ascii="ＭＳ 明朝" w:eastAsia="ＭＳ 明朝" w:hAnsi="ＭＳ 明朝"/>
          <w:szCs w:val="21"/>
          <w:lang w:bidi="th-TH"/>
        </w:rPr>
        <w:t>ニュースルーム</w:t>
      </w:r>
      <w:r>
        <w:rPr>
          <w:rFonts w:ascii="ＭＳ 明朝" w:eastAsia="ＭＳ 明朝" w:hAnsi="ＭＳ 明朝" w:hint="eastAsia"/>
          <w:szCs w:val="21"/>
          <w:lang w:bidi="th-TH"/>
        </w:rPr>
        <w:t xml:space="preserve"> </w:t>
      </w:r>
      <w:r w:rsidRPr="008522C0">
        <w:rPr>
          <w:rFonts w:ascii="ＭＳ 明朝" w:eastAsia="ＭＳ 明朝" w:hAnsi="ＭＳ 明朝"/>
          <w:szCs w:val="21"/>
          <w:lang w:bidi="th-TH"/>
        </w:rPr>
        <w:t>BEVピックアップトラック「D-MAX EV」をタイで生産開始</w:t>
      </w:r>
    </w:p>
    <w:p w14:paraId="5E1322E6"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https://www.isuzu.co.jp/company/profile.html</w:t>
        </w:r>
      </w:hyperlink>
    </w:p>
    <w:p w14:paraId="1F2EC70B"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NNA</w:t>
      </w:r>
      <w:r>
        <w:rPr>
          <w:rFonts w:ascii="ＭＳ 明朝" w:eastAsia="ＭＳ 明朝" w:hAnsi="ＭＳ 明朝" w:hint="eastAsia"/>
          <w:szCs w:val="21"/>
          <w:lang w:bidi="th-TH"/>
        </w:rPr>
        <w:t xml:space="preserve">　</w:t>
      </w:r>
      <w:r w:rsidRPr="00D23620">
        <w:rPr>
          <w:rFonts w:ascii="ＭＳ 明朝" w:eastAsia="ＭＳ 明朝" w:hAnsi="ＭＳ 明朝"/>
          <w:szCs w:val="21"/>
          <w:lang w:bidi="th-TH"/>
        </w:rPr>
        <w:t>ホンダ、タイで新型アコードを発表</w:t>
      </w:r>
      <w:r>
        <w:rPr>
          <w:rFonts w:ascii="ＭＳ 明朝" w:eastAsia="ＭＳ 明朝" w:hAnsi="ＭＳ 明朝" w:hint="eastAsia"/>
          <w:szCs w:val="21"/>
          <w:lang w:bidi="th-TH"/>
        </w:rPr>
        <w:t>※会員のみ閲覧可能</w:t>
      </w:r>
    </w:p>
    <w:p w14:paraId="6096C3A4"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https://www.nna.jp/news/2831389</w:t>
        </w:r>
      </w:hyperlink>
    </w:p>
    <w:p w14:paraId="12DC51D5" w14:textId="77777777" w:rsidR="000A0534" w:rsidRDefault="000A0534" w:rsidP="000A0534">
      <w:pPr>
        <w:rPr>
          <w:rFonts w:ascii="ＭＳ 明朝" w:eastAsia="ＭＳ 明朝" w:hAnsi="ＭＳ 明朝"/>
          <w:szCs w:val="21"/>
          <w:lang w:bidi="th-TH"/>
        </w:rPr>
      </w:pPr>
      <w:r>
        <w:rPr>
          <w:rFonts w:ascii="ＭＳ 明朝" w:eastAsia="ＭＳ 明朝" w:hAnsi="ＭＳ 明朝" w:hint="eastAsia"/>
          <w:szCs w:val="21"/>
          <w:lang w:bidi="th-TH"/>
        </w:rPr>
        <w:t>AUTOCAR JA</w:t>
      </w:r>
      <w:r>
        <w:rPr>
          <w:rFonts w:ascii="ＭＳ 明朝" w:eastAsia="ＭＳ 明朝" w:hAnsi="ＭＳ 明朝"/>
          <w:szCs w:val="21"/>
          <w:lang w:bidi="th-TH"/>
        </w:rPr>
        <w:t xml:space="preserve">PAN </w:t>
      </w:r>
      <w:r w:rsidRPr="00D23620">
        <w:rPr>
          <w:rFonts w:ascii="ＭＳ 明朝" w:eastAsia="ＭＳ 明朝" w:hAnsi="ＭＳ 明朝"/>
          <w:szCs w:val="21"/>
          <w:lang w:bidi="th-TH"/>
        </w:rPr>
        <w:t>マツダ、タイでの生産・販売を強化</w:t>
      </w:r>
    </w:p>
    <w:p w14:paraId="293C1765"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https://www.autocar.jp/post/1115058</w:t>
        </w:r>
      </w:hyperlink>
      <w:r>
        <w:rPr>
          <w:rFonts w:ascii="ＭＳ 明朝" w:eastAsia="ＭＳ 明朝" w:hAnsi="ＭＳ 明朝"/>
          <w:szCs w:val="21"/>
          <w:lang w:bidi="th-TH"/>
        </w:rPr>
        <w:t xml:space="preserve"> </w:t>
      </w:r>
    </w:p>
    <w:p w14:paraId="015A4E52" w14:textId="77777777" w:rsidR="000A0534" w:rsidRDefault="000A0534" w:rsidP="000A0534">
      <w:pPr>
        <w:rPr>
          <w:rFonts w:ascii="ＭＳ 明朝" w:eastAsia="ＭＳ 明朝" w:hAnsi="ＭＳ 明朝"/>
          <w:szCs w:val="21"/>
          <w:lang w:bidi="th-TH"/>
        </w:rPr>
      </w:pPr>
      <w:r>
        <w:rPr>
          <w:rFonts w:ascii="ＭＳ 明朝" w:eastAsia="ＭＳ 明朝" w:hAnsi="ＭＳ 明朝"/>
          <w:szCs w:val="21"/>
          <w:lang w:bidi="th-TH"/>
        </w:rPr>
        <w:t>BANK OF THAILAND</w:t>
      </w:r>
    </w:p>
    <w:p w14:paraId="007B3DFD"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https://www.bot.or.th/th/thai-economy/state-of-thai-economy.html</w:t>
        </w:r>
      </w:hyperlink>
    </w:p>
    <w:p w14:paraId="1305CE1C" w14:textId="77777777" w:rsidR="000A0534" w:rsidRDefault="000A0534" w:rsidP="000A0534">
      <w:pPr>
        <w:rPr>
          <w:rFonts w:ascii="ＭＳ 明朝" w:eastAsia="ＭＳ 明朝" w:hAnsi="ＭＳ 明朝"/>
          <w:szCs w:val="21"/>
          <w:lang w:bidi="th-TH"/>
        </w:rPr>
      </w:pPr>
      <w:proofErr w:type="spellStart"/>
      <w:r>
        <w:rPr>
          <w:rFonts w:ascii="ＭＳ 明朝" w:eastAsia="ＭＳ 明朝" w:hAnsi="ＭＳ 明朝"/>
          <w:szCs w:val="21"/>
          <w:lang w:bidi="th-TH"/>
        </w:rPr>
        <w:t>T</w:t>
      </w:r>
      <w:r w:rsidRPr="00D23620">
        <w:rPr>
          <w:rFonts w:ascii="ＭＳ 明朝" w:eastAsia="ＭＳ 明朝" w:hAnsi="ＭＳ 明朝"/>
          <w:szCs w:val="21"/>
          <w:lang w:bidi="th-TH"/>
        </w:rPr>
        <w:t>hansettakij</w:t>
      </w:r>
      <w:proofErr w:type="spellEnd"/>
    </w:p>
    <w:p w14:paraId="60C0B3D0" w14:textId="77777777" w:rsidR="000A0534" w:rsidRDefault="000A0534" w:rsidP="000A0534">
      <w:pPr>
        <w:rPr>
          <w:rFonts w:ascii="ＭＳ 明朝" w:eastAsia="ＭＳ 明朝" w:hAnsi="ＭＳ 明朝"/>
          <w:szCs w:val="21"/>
          <w:lang w:bidi="th-TH"/>
        </w:rPr>
      </w:pPr>
      <w:hyperlink w:history="1">
        <w:r w:rsidRPr="009204C6">
          <w:rPr>
            <w:rStyle w:val="aa"/>
          </w:rPr>
          <w:t>https://www.thansettakij.com/economy/624271</w:t>
        </w:r>
      </w:hyperlink>
    </w:p>
    <w:p w14:paraId="5BBF277D" w14:textId="77777777" w:rsidR="000A0534" w:rsidRDefault="000A0534" w:rsidP="000A0534">
      <w:pPr>
        <w:rPr>
          <w:rFonts w:ascii="ＭＳ 明朝" w:eastAsia="ＭＳ 明朝" w:hAnsi="ＭＳ 明朝"/>
          <w:szCs w:val="21"/>
          <w:lang w:bidi="th-TH"/>
        </w:rPr>
      </w:pPr>
      <w:r w:rsidRPr="001124F8">
        <w:rPr>
          <w:rFonts w:ascii="ＭＳ 明朝" w:eastAsia="ＭＳ 明朝" w:hAnsi="ＭＳ 明朝"/>
          <w:szCs w:val="21"/>
          <w:lang w:bidi="th-TH"/>
        </w:rPr>
        <w:t>JETRO ビジネス短信</w:t>
      </w:r>
    </w:p>
    <w:p w14:paraId="4F5ABE60"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https://www.jetro.go.jp/biznews/2025/10/43b6f555240037b5.html</w:t>
        </w:r>
      </w:hyperlink>
    </w:p>
    <w:p w14:paraId="67464C27" w14:textId="77777777" w:rsidR="000A0534" w:rsidRDefault="000A0534" w:rsidP="000A0534">
      <w:pPr>
        <w:rPr>
          <w:rFonts w:ascii="ＭＳ 明朝" w:eastAsia="ＭＳ 明朝" w:hAnsi="ＭＳ 明朝"/>
          <w:szCs w:val="21"/>
          <w:lang w:bidi="th-TH"/>
        </w:rPr>
      </w:pPr>
      <w:proofErr w:type="spellStart"/>
      <w:r>
        <w:rPr>
          <w:rFonts w:ascii="ＭＳ 明朝" w:eastAsia="ＭＳ 明朝" w:hAnsi="ＭＳ 明朝"/>
          <w:szCs w:val="21"/>
          <w:lang w:bidi="th-TH"/>
        </w:rPr>
        <w:t>infoquest</w:t>
      </w:r>
      <w:proofErr w:type="spellEnd"/>
    </w:p>
    <w:p w14:paraId="0EE467DC" w14:textId="77777777" w:rsidR="000A0534" w:rsidRDefault="000A0534" w:rsidP="000A0534">
      <w:pPr>
        <w:rPr>
          <w:rFonts w:ascii="ＭＳ 明朝" w:eastAsia="ＭＳ 明朝" w:hAnsi="ＭＳ 明朝"/>
          <w:szCs w:val="21"/>
          <w:lang w:bidi="th-TH"/>
        </w:rPr>
      </w:pPr>
      <w:hyperlink w:history="1">
        <w:r w:rsidRPr="009204C6">
          <w:rPr>
            <w:rStyle w:val="aa"/>
            <w:rFonts w:ascii="ＭＳ 明朝" w:eastAsia="ＭＳ 明朝" w:hAnsi="ＭＳ 明朝"/>
            <w:szCs w:val="21"/>
            <w:lang w:bidi="th-TH"/>
          </w:rPr>
          <w:t>https://www.infoquest.co.th/2025/492807</w:t>
        </w:r>
      </w:hyperlink>
    </w:p>
    <w:p w14:paraId="0422CA74" w14:textId="77777777" w:rsidR="000A0534" w:rsidRDefault="000A0534" w:rsidP="000A0534">
      <w:pPr>
        <w:rPr>
          <w:rFonts w:ascii="ＭＳ 明朝" w:eastAsia="ＭＳ 明朝" w:hAnsi="ＭＳ 明朝"/>
          <w:szCs w:val="21"/>
          <w:lang w:bidi="th-TH"/>
        </w:rPr>
      </w:pPr>
    </w:p>
    <w:p w14:paraId="45BD833B" w14:textId="77777777" w:rsidR="000A0534" w:rsidRDefault="000A0534" w:rsidP="000A0534">
      <w:pPr>
        <w:rPr>
          <w:rFonts w:ascii="ＭＳ 明朝" w:eastAsia="ＭＳ 明朝" w:hAnsi="ＭＳ 明朝"/>
          <w:szCs w:val="21"/>
          <w:lang w:bidi="th-TH"/>
        </w:rPr>
      </w:pPr>
      <w:r w:rsidRPr="00EF37F2">
        <w:rPr>
          <w:rFonts w:ascii="ＭＳ 明朝" w:eastAsia="ＭＳ 明朝" w:hAnsi="ＭＳ 明朝" w:hint="eastAsia"/>
          <w:szCs w:val="21"/>
          <w:lang w:bidi="th-TH"/>
        </w:rPr>
        <w:t>免責事項：</w:t>
      </w:r>
    </w:p>
    <w:p w14:paraId="0C13A381" w14:textId="52EA3CC7" w:rsidR="00EC7D21" w:rsidRDefault="000A0534">
      <w:r w:rsidRPr="00EF37F2">
        <w:rPr>
          <w:rFonts w:ascii="ＭＳ 明朝" w:eastAsia="ＭＳ 明朝" w:hAnsi="ＭＳ 明朝" w:hint="eastAsia"/>
          <w:szCs w:val="21"/>
          <w:lang w:bidi="th-TH"/>
        </w:rPr>
        <w:t>本レポートに掲載されている情報の正確性については万全を期しておりますが、岡</w:t>
      </w:r>
      <w:r w:rsidRPr="00EF37F2">
        <w:rPr>
          <w:rFonts w:ascii="ＭＳ 明朝" w:eastAsia="ＭＳ 明朝" w:hAnsi="ＭＳ 明朝"/>
          <w:szCs w:val="21"/>
          <w:lang w:bidi="th-TH"/>
        </w:rPr>
        <w:t>山県は利用者が当ホームページの情報を用いて行う一切の行為について、何らの責任を負うものではありません。本レポートに起因して利用者に生じた損害につき、岡山県としては責任を負いかねますので御了承ください。</w:t>
      </w:r>
    </w:p>
    <w:sectPr w:rsidR="00EC7D21" w:rsidSect="000A0534">
      <w:pgSz w:w="11906" w:h="16838"/>
      <w:pgMar w:top="1418" w:right="849" w:bottom="993"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34"/>
    <w:rsid w:val="00067423"/>
    <w:rsid w:val="000A0534"/>
    <w:rsid w:val="00171514"/>
    <w:rsid w:val="005B20EA"/>
    <w:rsid w:val="00A8563A"/>
    <w:rsid w:val="00EC7D2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569CB9"/>
  <w15:chartTrackingRefBased/>
  <w15:docId w15:val="{B30FDCD5-9B2E-4CB8-952D-4A3A80F1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534"/>
    <w:pPr>
      <w:widowControl w:val="0"/>
      <w:spacing w:after="0" w:line="240" w:lineRule="auto"/>
      <w:jc w:val="both"/>
    </w:pPr>
    <w:rPr>
      <w:sz w:val="21"/>
      <w14:ligatures w14:val="none"/>
    </w:rPr>
  </w:style>
  <w:style w:type="paragraph" w:styleId="1">
    <w:name w:val="heading 1"/>
    <w:basedOn w:val="a"/>
    <w:next w:val="a"/>
    <w:link w:val="10"/>
    <w:uiPriority w:val="9"/>
    <w:qFormat/>
    <w:rsid w:val="000A0534"/>
    <w:pPr>
      <w:keepNext/>
      <w:keepLines/>
      <w:widowControl/>
      <w:spacing w:before="320" w:after="40" w:line="259" w:lineRule="auto"/>
      <w:jc w:val="left"/>
      <w:outlineLvl w:val="0"/>
    </w:pPr>
    <w:rPr>
      <w:rFonts w:asciiTheme="majorHAnsi" w:eastAsiaTheme="majorEastAsia" w:hAnsiTheme="majorHAnsi" w:cstheme="majorBidi"/>
      <w:color w:val="2E74B5" w:themeColor="accent1" w:themeShade="BF"/>
      <w:sz w:val="40"/>
      <w:szCs w:val="40"/>
      <w14:ligatures w14:val="standardContextual"/>
    </w:rPr>
  </w:style>
  <w:style w:type="paragraph" w:styleId="2">
    <w:name w:val="heading 2"/>
    <w:basedOn w:val="a"/>
    <w:next w:val="a"/>
    <w:link w:val="20"/>
    <w:uiPriority w:val="9"/>
    <w:semiHidden/>
    <w:unhideWhenUsed/>
    <w:qFormat/>
    <w:rsid w:val="000A0534"/>
    <w:pPr>
      <w:keepNext/>
      <w:keepLines/>
      <w:widowControl/>
      <w:spacing w:before="120" w:after="40" w:line="259" w:lineRule="auto"/>
      <w:jc w:val="left"/>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3">
    <w:name w:val="heading 3"/>
    <w:basedOn w:val="a"/>
    <w:next w:val="a"/>
    <w:link w:val="30"/>
    <w:uiPriority w:val="9"/>
    <w:semiHidden/>
    <w:unhideWhenUsed/>
    <w:qFormat/>
    <w:rsid w:val="000A0534"/>
    <w:pPr>
      <w:keepNext/>
      <w:keepLines/>
      <w:widowControl/>
      <w:spacing w:before="120" w:after="40" w:line="259" w:lineRule="auto"/>
      <w:jc w:val="left"/>
      <w:outlineLvl w:val="2"/>
    </w:pPr>
    <w:rPr>
      <w:rFonts w:eastAsiaTheme="majorEastAsia" w:cstheme="majorBidi"/>
      <w:color w:val="2E74B5" w:themeColor="accent1" w:themeShade="BF"/>
      <w:sz w:val="28"/>
      <w:szCs w:val="28"/>
      <w14:ligatures w14:val="standardContextual"/>
    </w:rPr>
  </w:style>
  <w:style w:type="paragraph" w:styleId="4">
    <w:name w:val="heading 4"/>
    <w:basedOn w:val="a"/>
    <w:next w:val="a"/>
    <w:link w:val="40"/>
    <w:uiPriority w:val="9"/>
    <w:semiHidden/>
    <w:unhideWhenUsed/>
    <w:qFormat/>
    <w:rsid w:val="000A0534"/>
    <w:pPr>
      <w:keepNext/>
      <w:keepLines/>
      <w:widowControl/>
      <w:spacing w:before="80" w:after="40" w:line="259" w:lineRule="auto"/>
      <w:jc w:val="left"/>
      <w:outlineLvl w:val="3"/>
    </w:pPr>
    <w:rPr>
      <w:rFonts w:eastAsiaTheme="majorEastAsia" w:cstheme="majorBidi"/>
      <w:i/>
      <w:iCs/>
      <w:color w:val="2E74B5" w:themeColor="accent1" w:themeShade="BF"/>
      <w:sz w:val="22"/>
      <w14:ligatures w14:val="standardContextual"/>
    </w:rPr>
  </w:style>
  <w:style w:type="paragraph" w:styleId="5">
    <w:name w:val="heading 5"/>
    <w:basedOn w:val="a"/>
    <w:next w:val="a"/>
    <w:link w:val="50"/>
    <w:uiPriority w:val="9"/>
    <w:semiHidden/>
    <w:unhideWhenUsed/>
    <w:qFormat/>
    <w:rsid w:val="000A0534"/>
    <w:pPr>
      <w:keepNext/>
      <w:keepLines/>
      <w:widowControl/>
      <w:spacing w:before="80" w:after="40" w:line="259" w:lineRule="auto"/>
      <w:jc w:val="left"/>
      <w:outlineLvl w:val="4"/>
    </w:pPr>
    <w:rPr>
      <w:rFonts w:eastAsiaTheme="majorEastAsia" w:cstheme="majorBidi"/>
      <w:color w:val="2E74B5" w:themeColor="accent1" w:themeShade="BF"/>
      <w:sz w:val="22"/>
      <w14:ligatures w14:val="standardContextual"/>
    </w:rPr>
  </w:style>
  <w:style w:type="paragraph" w:styleId="6">
    <w:name w:val="heading 6"/>
    <w:basedOn w:val="a"/>
    <w:next w:val="a"/>
    <w:link w:val="60"/>
    <w:uiPriority w:val="9"/>
    <w:semiHidden/>
    <w:unhideWhenUsed/>
    <w:qFormat/>
    <w:rsid w:val="000A0534"/>
    <w:pPr>
      <w:keepNext/>
      <w:keepLines/>
      <w:widowControl/>
      <w:spacing w:before="40" w:line="259" w:lineRule="auto"/>
      <w:jc w:val="left"/>
      <w:outlineLvl w:val="5"/>
    </w:pPr>
    <w:rPr>
      <w:rFonts w:eastAsiaTheme="majorEastAsia" w:cstheme="majorBidi"/>
      <w:i/>
      <w:iCs/>
      <w:color w:val="595959" w:themeColor="text1" w:themeTint="A6"/>
      <w:sz w:val="22"/>
      <w14:ligatures w14:val="standardContextual"/>
    </w:rPr>
  </w:style>
  <w:style w:type="paragraph" w:styleId="7">
    <w:name w:val="heading 7"/>
    <w:basedOn w:val="a"/>
    <w:next w:val="a"/>
    <w:link w:val="70"/>
    <w:uiPriority w:val="9"/>
    <w:semiHidden/>
    <w:unhideWhenUsed/>
    <w:qFormat/>
    <w:rsid w:val="000A0534"/>
    <w:pPr>
      <w:keepNext/>
      <w:keepLines/>
      <w:widowControl/>
      <w:spacing w:before="40" w:line="259" w:lineRule="auto"/>
      <w:jc w:val="left"/>
      <w:outlineLvl w:val="6"/>
    </w:pPr>
    <w:rPr>
      <w:rFonts w:eastAsiaTheme="majorEastAsia" w:cstheme="majorBidi"/>
      <w:color w:val="595959" w:themeColor="text1" w:themeTint="A6"/>
      <w:sz w:val="22"/>
      <w14:ligatures w14:val="standardContextual"/>
    </w:rPr>
  </w:style>
  <w:style w:type="paragraph" w:styleId="8">
    <w:name w:val="heading 8"/>
    <w:basedOn w:val="a"/>
    <w:next w:val="a"/>
    <w:link w:val="80"/>
    <w:uiPriority w:val="9"/>
    <w:semiHidden/>
    <w:unhideWhenUsed/>
    <w:qFormat/>
    <w:rsid w:val="000A0534"/>
    <w:pPr>
      <w:keepNext/>
      <w:keepLines/>
      <w:widowControl/>
      <w:spacing w:line="259" w:lineRule="auto"/>
      <w:jc w:val="left"/>
      <w:outlineLvl w:val="7"/>
    </w:pPr>
    <w:rPr>
      <w:rFonts w:eastAsiaTheme="majorEastAsia" w:cstheme="majorBidi"/>
      <w:i/>
      <w:iCs/>
      <w:color w:val="272727" w:themeColor="text1" w:themeTint="D8"/>
      <w:sz w:val="22"/>
      <w14:ligatures w14:val="standardContextual"/>
    </w:rPr>
  </w:style>
  <w:style w:type="paragraph" w:styleId="9">
    <w:name w:val="heading 9"/>
    <w:basedOn w:val="a"/>
    <w:next w:val="a"/>
    <w:link w:val="90"/>
    <w:uiPriority w:val="9"/>
    <w:semiHidden/>
    <w:unhideWhenUsed/>
    <w:qFormat/>
    <w:rsid w:val="000A0534"/>
    <w:pPr>
      <w:keepNext/>
      <w:keepLines/>
      <w:widowControl/>
      <w:spacing w:line="259" w:lineRule="auto"/>
      <w:jc w:val="left"/>
      <w:outlineLvl w:val="8"/>
    </w:pPr>
    <w:rPr>
      <w:rFonts w:eastAsiaTheme="majorEastAsia" w:cstheme="majorBidi"/>
      <w:color w:val="272727" w:themeColor="text1" w:themeTint="D8"/>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0534"/>
    <w:rPr>
      <w:rFonts w:asciiTheme="majorHAnsi" w:eastAsiaTheme="majorEastAsia" w:hAnsiTheme="majorHAnsi" w:cstheme="majorBidi"/>
      <w:color w:val="2E74B5" w:themeColor="accent1" w:themeShade="BF"/>
      <w:sz w:val="40"/>
      <w:szCs w:val="40"/>
    </w:rPr>
  </w:style>
  <w:style w:type="character" w:customStyle="1" w:styleId="20">
    <w:name w:val="見出し 2 (文字)"/>
    <w:basedOn w:val="a0"/>
    <w:link w:val="2"/>
    <w:uiPriority w:val="9"/>
    <w:semiHidden/>
    <w:rsid w:val="000A0534"/>
    <w:rPr>
      <w:rFonts w:asciiTheme="majorHAnsi" w:eastAsiaTheme="majorEastAsia" w:hAnsiTheme="majorHAnsi" w:cstheme="majorBidi"/>
      <w:color w:val="2E74B5" w:themeColor="accent1" w:themeShade="BF"/>
      <w:sz w:val="32"/>
      <w:szCs w:val="32"/>
    </w:rPr>
  </w:style>
  <w:style w:type="character" w:customStyle="1" w:styleId="30">
    <w:name w:val="見出し 3 (文字)"/>
    <w:basedOn w:val="a0"/>
    <w:link w:val="3"/>
    <w:uiPriority w:val="9"/>
    <w:semiHidden/>
    <w:rsid w:val="000A0534"/>
    <w:rPr>
      <w:rFonts w:eastAsiaTheme="majorEastAsia" w:cstheme="majorBidi"/>
      <w:color w:val="2E74B5" w:themeColor="accent1" w:themeShade="BF"/>
      <w:sz w:val="28"/>
      <w:szCs w:val="28"/>
    </w:rPr>
  </w:style>
  <w:style w:type="character" w:customStyle="1" w:styleId="40">
    <w:name w:val="見出し 4 (文字)"/>
    <w:basedOn w:val="a0"/>
    <w:link w:val="4"/>
    <w:uiPriority w:val="9"/>
    <w:semiHidden/>
    <w:rsid w:val="000A0534"/>
    <w:rPr>
      <w:rFonts w:eastAsiaTheme="majorEastAsia" w:cstheme="majorBidi"/>
      <w:i/>
      <w:iCs/>
      <w:color w:val="2E74B5" w:themeColor="accent1" w:themeShade="BF"/>
    </w:rPr>
  </w:style>
  <w:style w:type="character" w:customStyle="1" w:styleId="50">
    <w:name w:val="見出し 5 (文字)"/>
    <w:basedOn w:val="a0"/>
    <w:link w:val="5"/>
    <w:uiPriority w:val="9"/>
    <w:semiHidden/>
    <w:rsid w:val="000A0534"/>
    <w:rPr>
      <w:rFonts w:eastAsiaTheme="majorEastAsia" w:cstheme="majorBidi"/>
      <w:color w:val="2E74B5" w:themeColor="accent1" w:themeShade="BF"/>
    </w:rPr>
  </w:style>
  <w:style w:type="character" w:customStyle="1" w:styleId="60">
    <w:name w:val="見出し 6 (文字)"/>
    <w:basedOn w:val="a0"/>
    <w:link w:val="6"/>
    <w:uiPriority w:val="9"/>
    <w:semiHidden/>
    <w:rsid w:val="000A0534"/>
    <w:rPr>
      <w:rFonts w:eastAsiaTheme="majorEastAsia" w:cstheme="majorBidi"/>
      <w:i/>
      <w:iCs/>
      <w:color w:val="595959" w:themeColor="text1" w:themeTint="A6"/>
    </w:rPr>
  </w:style>
  <w:style w:type="character" w:customStyle="1" w:styleId="70">
    <w:name w:val="見出し 7 (文字)"/>
    <w:basedOn w:val="a0"/>
    <w:link w:val="7"/>
    <w:uiPriority w:val="9"/>
    <w:semiHidden/>
    <w:rsid w:val="000A0534"/>
    <w:rPr>
      <w:rFonts w:eastAsiaTheme="majorEastAsia" w:cstheme="majorBidi"/>
      <w:color w:val="595959" w:themeColor="text1" w:themeTint="A6"/>
    </w:rPr>
  </w:style>
  <w:style w:type="character" w:customStyle="1" w:styleId="80">
    <w:name w:val="見出し 8 (文字)"/>
    <w:basedOn w:val="a0"/>
    <w:link w:val="8"/>
    <w:uiPriority w:val="9"/>
    <w:semiHidden/>
    <w:rsid w:val="000A0534"/>
    <w:rPr>
      <w:rFonts w:eastAsiaTheme="majorEastAsia" w:cstheme="majorBidi"/>
      <w:i/>
      <w:iCs/>
      <w:color w:val="272727" w:themeColor="text1" w:themeTint="D8"/>
    </w:rPr>
  </w:style>
  <w:style w:type="character" w:customStyle="1" w:styleId="90">
    <w:name w:val="見出し 9 (文字)"/>
    <w:basedOn w:val="a0"/>
    <w:link w:val="9"/>
    <w:uiPriority w:val="9"/>
    <w:semiHidden/>
    <w:rsid w:val="000A0534"/>
    <w:rPr>
      <w:rFonts w:eastAsiaTheme="majorEastAsia" w:cstheme="majorBidi"/>
      <w:color w:val="272727" w:themeColor="text1" w:themeTint="D8"/>
    </w:rPr>
  </w:style>
  <w:style w:type="paragraph" w:styleId="a3">
    <w:name w:val="Title"/>
    <w:basedOn w:val="a"/>
    <w:next w:val="a"/>
    <w:link w:val="a4"/>
    <w:uiPriority w:val="10"/>
    <w:qFormat/>
    <w:rsid w:val="000A0534"/>
    <w:pPr>
      <w:widowControl/>
      <w:spacing w:after="4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A0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534"/>
    <w:pPr>
      <w:widowControl/>
      <w:numPr>
        <w:ilvl w:val="1"/>
      </w:numPr>
      <w:spacing w:after="160" w:line="259" w:lineRule="auto"/>
      <w:jc w:val="left"/>
    </w:pPr>
    <w:rPr>
      <w:rFonts w:eastAsiaTheme="majorEastAsia"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A05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0534"/>
    <w:pPr>
      <w:widowControl/>
      <w:spacing w:before="160" w:after="160" w:line="259" w:lineRule="auto"/>
      <w:jc w:val="center"/>
    </w:pPr>
    <w:rPr>
      <w:i/>
      <w:iCs/>
      <w:color w:val="404040" w:themeColor="text1" w:themeTint="BF"/>
      <w:sz w:val="22"/>
      <w14:ligatures w14:val="standardContextual"/>
    </w:rPr>
  </w:style>
  <w:style w:type="character" w:customStyle="1" w:styleId="a8">
    <w:name w:val="引用文 (文字)"/>
    <w:basedOn w:val="a0"/>
    <w:link w:val="a7"/>
    <w:uiPriority w:val="29"/>
    <w:rsid w:val="000A0534"/>
    <w:rPr>
      <w:i/>
      <w:iCs/>
      <w:color w:val="404040" w:themeColor="text1" w:themeTint="BF"/>
    </w:rPr>
  </w:style>
  <w:style w:type="paragraph" w:styleId="a9">
    <w:name w:val="List Paragraph"/>
    <w:basedOn w:val="a"/>
    <w:uiPriority w:val="34"/>
    <w:qFormat/>
    <w:rsid w:val="000A0534"/>
    <w:pPr>
      <w:widowControl/>
      <w:spacing w:after="160" w:line="259" w:lineRule="auto"/>
      <w:ind w:left="720"/>
      <w:contextualSpacing/>
      <w:jc w:val="left"/>
    </w:pPr>
    <w:rPr>
      <w:sz w:val="22"/>
      <w14:ligatures w14:val="standardContextual"/>
    </w:rPr>
  </w:style>
  <w:style w:type="character" w:styleId="21">
    <w:name w:val="Intense Emphasis"/>
    <w:basedOn w:val="a0"/>
    <w:uiPriority w:val="21"/>
    <w:qFormat/>
    <w:rsid w:val="000A0534"/>
    <w:rPr>
      <w:i/>
      <w:iCs/>
      <w:color w:val="2E74B5" w:themeColor="accent1" w:themeShade="BF"/>
    </w:rPr>
  </w:style>
  <w:style w:type="paragraph" w:styleId="22">
    <w:name w:val="Intense Quote"/>
    <w:basedOn w:val="a"/>
    <w:next w:val="a"/>
    <w:link w:val="23"/>
    <w:uiPriority w:val="30"/>
    <w:qFormat/>
    <w:rsid w:val="000A0534"/>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14:ligatures w14:val="standardContextual"/>
    </w:rPr>
  </w:style>
  <w:style w:type="character" w:customStyle="1" w:styleId="23">
    <w:name w:val="引用文 2 (文字)"/>
    <w:basedOn w:val="a0"/>
    <w:link w:val="22"/>
    <w:uiPriority w:val="30"/>
    <w:rsid w:val="000A0534"/>
    <w:rPr>
      <w:i/>
      <w:iCs/>
      <w:color w:val="2E74B5" w:themeColor="accent1" w:themeShade="BF"/>
    </w:rPr>
  </w:style>
  <w:style w:type="character" w:styleId="24">
    <w:name w:val="Intense Reference"/>
    <w:basedOn w:val="a0"/>
    <w:uiPriority w:val="32"/>
    <w:qFormat/>
    <w:rsid w:val="000A0534"/>
    <w:rPr>
      <w:b/>
      <w:bCs/>
      <w:smallCaps/>
      <w:color w:val="2E74B5" w:themeColor="accent1" w:themeShade="BF"/>
      <w:spacing w:val="5"/>
    </w:rPr>
  </w:style>
  <w:style w:type="character" w:styleId="aa">
    <w:name w:val="Hyperlink"/>
    <w:basedOn w:val="a0"/>
    <w:uiPriority w:val="99"/>
    <w:unhideWhenUsed/>
    <w:rsid w:val="000A0534"/>
    <w:rPr>
      <w:color w:val="0563C1" w:themeColor="hyperlink"/>
      <w:u w:val="single"/>
    </w:rPr>
  </w:style>
  <w:style w:type="table" w:styleId="ab">
    <w:name w:val="Table Grid"/>
    <w:basedOn w:val="a1"/>
    <w:uiPriority w:val="39"/>
    <w:rsid w:val="000A0534"/>
    <w:pPr>
      <w:spacing w:after="0" w:line="240" w:lineRule="auto"/>
    </w:pPr>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3636</Characters>
  <Application>Microsoft Office Word</Application>
  <DocSecurity>0</DocSecurity>
  <Lines>30</Lines>
  <Paragraphs>8</Paragraphs>
  <ScaleCrop>false</ScaleCrop>
  <Compan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杉本　詩穂</cp:lastModifiedBy>
  <cp:revision>2</cp:revision>
  <cp:lastPrinted>2025-10-30T07:01:00Z</cp:lastPrinted>
  <dcterms:created xsi:type="dcterms:W3CDTF">2025-10-30T07:01:00Z</dcterms:created>
  <dcterms:modified xsi:type="dcterms:W3CDTF">2025-10-30T07:01:00Z</dcterms:modified>
</cp:coreProperties>
</file>