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1186C7DB">
                      <wp:extent cx="306324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2750820" cy="281940"/>
                                </a:xfrm>
                                <a:prstGeom prst="rect">
                                  <a:avLst/>
                                </a:prstGeom>
                                <a:noFill/>
                                <a:ln w="12700" cap="flat" cmpd="sng" algn="ctr">
                                  <a:noFill/>
                                  <a:prstDash val="solid"/>
                                  <a:miter lim="800000"/>
                                </a:ln>
                                <a:effectLst/>
                              </wps:spPr>
                              <wps:txbx>
                                <w:txbxContent>
                                  <w:p w14:paraId="3EB0700B" w14:textId="22F9BCCF" w:rsidR="00AC13AE" w:rsidRDefault="00D44166"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AC13AE">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241.2pt;height:26.6pt;mso-position-horizontal-relative:char;mso-position-vertical-relative:line" coordsize="3063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632;height:3378;visibility:visible;mso-wrap-style:square">
                        <v:fill o:detectmouseclick="t"/>
                        <v:path o:connecttype="none"/>
                      </v:shape>
                      <v:rect id="正方形/長方形 10" o:spid="_x0000_s1028" style="position:absolute;width:27508;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22F9BCCF" w:rsidR="00AC13AE" w:rsidRDefault="00D44166" w:rsidP="00AC13AE">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AC13AE">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3892CFC2"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80;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3892CFC2"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20" w:name="_GoBack"/>
                              <w:bookmarkEnd w:id="20"/>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3A319861" w:rsidR="00085732" w:rsidRPr="009B4A05" w:rsidRDefault="00E51EAB" w:rsidP="003C0382">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２</w:t>
      </w:r>
      <w:r w:rsidR="0093330F">
        <w:rPr>
          <w:rFonts w:ascii="ＭＳ 明朝" w:cs="Times New Roman" w:hint="eastAsia"/>
          <w:spacing w:val="2"/>
        </w:rPr>
        <w:t xml:space="preserve">　</w:t>
      </w:r>
      <w:bookmarkStart w:id="33" w:name="_GoBack"/>
      <w:bookmarkEnd w:id="33"/>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9782" w14:textId="77777777" w:rsidR="000D7528" w:rsidRDefault="000D7528">
      <w:r>
        <w:separator/>
      </w:r>
    </w:p>
  </w:endnote>
  <w:endnote w:type="continuationSeparator" w:id="0">
    <w:p w14:paraId="6E272E10" w14:textId="77777777" w:rsidR="000D7528" w:rsidRDefault="000D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4C29" w14:textId="77777777" w:rsidR="000D7528" w:rsidRDefault="000D7528">
      <w:r>
        <w:rPr>
          <w:rFonts w:ascii="ＭＳ 明朝" w:cs="Times New Roman"/>
          <w:color w:val="auto"/>
          <w:sz w:val="2"/>
          <w:szCs w:val="2"/>
        </w:rPr>
        <w:continuationSeparator/>
      </w:r>
    </w:p>
  </w:footnote>
  <w:footnote w:type="continuationSeparator" w:id="0">
    <w:p w14:paraId="5322CA9C" w14:textId="77777777" w:rsidR="000D7528" w:rsidRDefault="000D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0D7528"/>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3C0382"/>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3506B"/>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44166"/>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2020-12-28T01:17:00Z</dcterms:modified>
</cp:coreProperties>
</file>